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after="0" w:line="240" w:lineRule="auto"/>
        <w:ind w:left="0" w:leftChars="0" w:firstLine="0" w:firstLineChars="0"/>
        <w:rPr>
          <w:rFonts w:hint="eastAsia" w:ascii="黑体" w:hAnsi="黑体" w:eastAsia="黑体" w:cs="黑体"/>
          <w:sz w:val="32"/>
          <w:szCs w:val="32"/>
        </w:rPr>
      </w:pPr>
      <w:bookmarkStart w:id="0" w:name="_Toc6888"/>
      <w:bookmarkStart w:id="1" w:name="_Toc31045"/>
      <w:bookmarkStart w:id="2" w:name="_Toc424128111"/>
      <w:bookmarkStart w:id="3" w:name="_Toc282956884"/>
      <w:bookmarkStart w:id="4" w:name="_Toc283287930"/>
      <w:bookmarkStart w:id="5" w:name="_Toc280620782"/>
      <w:bookmarkStart w:id="6" w:name="_Toc288116233"/>
      <w:bookmarkStart w:id="7" w:name="_Toc282589663"/>
      <w:bookmarkStart w:id="8" w:name="_Toc282591207"/>
      <w:bookmarkStart w:id="9" w:name="_Toc282527260"/>
      <w:bookmarkStart w:id="10" w:name="_Toc282587892"/>
    </w:p>
    <w:p>
      <w:pPr>
        <w:pStyle w:val="2"/>
        <w:snapToGrid w:val="0"/>
        <w:spacing w:before="0" w:after="0" w:line="240" w:lineRule="auto"/>
        <w:ind w:left="0" w:leftChars="0" w:firstLine="0" w:firstLineChars="0"/>
        <w:rPr>
          <w:rFonts w:hint="eastAsia" w:ascii="黑体" w:hAnsi="黑体" w:eastAsia="黑体" w:cs="黑体"/>
          <w:sz w:val="32"/>
          <w:szCs w:val="32"/>
        </w:rPr>
      </w:pPr>
      <w:r>
        <w:rPr>
          <w:rFonts w:hint="eastAsia" w:cs="黑体"/>
          <w:sz w:val="32"/>
          <w:szCs w:val="32"/>
          <w:lang w:val="en-US" w:eastAsia="zh-CN"/>
        </w:rPr>
        <w:t>武汉理工大学</w:t>
      </w:r>
      <w:r>
        <w:rPr>
          <w:rFonts w:hint="eastAsia" w:ascii="黑体" w:hAnsi="黑体" w:eastAsia="黑体" w:cs="黑体"/>
          <w:sz w:val="32"/>
          <w:szCs w:val="32"/>
        </w:rPr>
        <w:t>“十三五”卓越人才工程专项规划</w:t>
      </w:r>
      <w:bookmarkEnd w:id="0"/>
      <w:bookmarkEnd w:id="1"/>
      <w:bookmarkEnd w:id="2"/>
    </w:p>
    <w:p>
      <w:pPr>
        <w:rPr>
          <w:rFonts w:hint="eastAsia"/>
          <w:lang w:eastAsia="zh-CN"/>
        </w:rPr>
      </w:pPr>
      <w:r>
        <w:rPr>
          <w:rFonts w:hint="eastAsia"/>
          <w:lang w:val="en-US" w:eastAsia="zh-CN"/>
        </w:rPr>
        <w:t xml:space="preserve">                   </w:t>
      </w:r>
    </w:p>
    <w:bookmarkEnd w:id="3"/>
    <w:bookmarkEnd w:id="4"/>
    <w:bookmarkEnd w:id="5"/>
    <w:bookmarkEnd w:id="6"/>
    <w:bookmarkEnd w:id="7"/>
    <w:bookmarkEnd w:id="8"/>
    <w:bookmarkEnd w:id="9"/>
    <w:bookmarkEnd w:id="10"/>
    <w:p>
      <w:r>
        <w:rPr>
          <w:rFonts w:hint="eastAsia"/>
        </w:rPr>
        <w:t>根据《武汉理工大学中长期发展战略规划（2001-2020）》和“十三五”时期学校全面深化</w:t>
      </w:r>
      <w:bookmarkStart w:id="87" w:name="_GoBack"/>
      <w:bookmarkEnd w:id="87"/>
      <w:r>
        <w:rPr>
          <w:rFonts w:hint="eastAsia"/>
        </w:rPr>
        <w:t>改革</w:t>
      </w:r>
      <w:r>
        <w:rPr>
          <w:rFonts w:hint="eastAsia"/>
          <w:lang w:eastAsia="zh-CN"/>
        </w:rPr>
        <w:t>、</w:t>
      </w:r>
      <w:r>
        <w:rPr>
          <w:rFonts w:hint="eastAsia"/>
        </w:rPr>
        <w:t>构建卓越教育体系的</w:t>
      </w:r>
      <w:r>
        <w:rPr>
          <w:rFonts w:hint="eastAsia"/>
          <w:lang w:eastAsia="zh-CN"/>
        </w:rPr>
        <w:t>要求</w:t>
      </w:r>
      <w:r>
        <w:rPr>
          <w:rFonts w:hint="eastAsia"/>
        </w:rPr>
        <w:t>，特制定本规划。</w:t>
      </w:r>
    </w:p>
    <w:p>
      <w:pPr>
        <w:pStyle w:val="3"/>
        <w:rPr>
          <w:szCs w:val="32"/>
        </w:rPr>
      </w:pPr>
      <w:bookmarkStart w:id="11" w:name="_Toc10138"/>
      <w:bookmarkStart w:id="12" w:name="_Toc19366"/>
      <w:r>
        <w:rPr>
          <w:rFonts w:hint="eastAsia"/>
        </w:rPr>
        <w:t>一、背景分析</w:t>
      </w:r>
      <w:bookmarkEnd w:id="11"/>
      <w:bookmarkEnd w:id="12"/>
    </w:p>
    <w:p>
      <w:pPr>
        <w:pStyle w:val="4"/>
        <w:spacing w:before="240"/>
      </w:pPr>
      <w:bookmarkStart w:id="13" w:name="_Toc2826"/>
      <w:bookmarkStart w:id="14" w:name="_Toc20909"/>
      <w:r>
        <w:rPr>
          <w:rFonts w:hint="eastAsia"/>
        </w:rPr>
        <w:t>（一）本工程“十二五”发展规划总体完成情况</w:t>
      </w:r>
      <w:bookmarkEnd w:id="13"/>
      <w:bookmarkEnd w:id="14"/>
    </w:p>
    <w:p>
      <w:r>
        <w:rPr>
          <w:rFonts w:hint="eastAsia"/>
        </w:rPr>
        <w:t>根据《武汉理工大学关于“十二五”期间进一步深化本科教学改革，全面提高教学质量的若干意见》，学校以提高人才培养质量为中心，以培养创新人才和增强创新能力为重点，通过学分制改革、本科教学工程、卓越工程师培养、工程专业认证、“15551”人才工程、实践教学平台等内涵建设，教学水平进一步提升，人才培养质量进一步提高，学生实践创新能力进一步增强；专业建设水平稳步提升，精品课程数量明显增加，学科竞赛获得标志性突破，生源质量和毕业生就业率持续提高，人才培养能力持续提升</w:t>
      </w:r>
      <w:r>
        <w:rPr>
          <w:rFonts w:hint="eastAsia"/>
          <w:lang w:eastAsia="zh-CN"/>
        </w:rPr>
        <w:t>。</w:t>
      </w:r>
    </w:p>
    <w:p>
      <w:pPr>
        <w:ind w:firstLine="562"/>
        <w:rPr>
          <w:shd w:val="clear" w:color="FFFFFF" w:fill="D9D9D9"/>
        </w:rPr>
      </w:pPr>
      <w:r>
        <w:rPr>
          <w:rFonts w:hint="eastAsia" w:ascii="Times New Roman" w:hAnsi="Times New Roman"/>
          <w:b/>
          <w:bCs/>
        </w:rPr>
        <w:t>学分制</w:t>
      </w:r>
      <w:r>
        <w:rPr>
          <w:rFonts w:hint="eastAsia"/>
          <w:b/>
          <w:bCs/>
        </w:rPr>
        <w:t>改革取得进展。</w:t>
      </w:r>
      <w:r>
        <w:rPr>
          <w:rFonts w:hint="eastAsia"/>
        </w:rPr>
        <w:t>实施了一系列适应学分制的教学管理制度。</w:t>
      </w:r>
      <w:r>
        <w:rPr>
          <w:rFonts w:hint="eastAsia"/>
          <w:lang w:eastAsia="zh-CN"/>
        </w:rPr>
        <w:t>实施大类招生和大类培养，</w:t>
      </w:r>
      <w:r>
        <w:rPr>
          <w:rFonts w:hint="eastAsia"/>
        </w:rPr>
        <w:t>全面实施选课选教，大类培养内自由选择专业，</w:t>
      </w:r>
      <w:r>
        <w:rPr>
          <w:rFonts w:hint="eastAsia"/>
          <w:lang w:eastAsia="zh-CN"/>
        </w:rPr>
        <w:t>实施“转出无限制，转入有门槛”的转专业制度，</w:t>
      </w:r>
      <w:r>
        <w:rPr>
          <w:rFonts w:hint="eastAsia"/>
        </w:rPr>
        <w:t>将因材施教和学生个性化培养落到实处。</w:t>
      </w:r>
    </w:p>
    <w:p>
      <w:pPr>
        <w:ind w:firstLine="562"/>
      </w:pPr>
      <w:r>
        <w:rPr>
          <w:rFonts w:hint="eastAsia"/>
          <w:b/>
          <w:bCs/>
        </w:rPr>
        <w:t>专业和课程建设成效显著</w:t>
      </w:r>
      <w:r>
        <w:rPr>
          <w:rFonts w:hint="eastAsia"/>
        </w:rPr>
        <w:t>。制定87个专业的人才培养标准，</w:t>
      </w:r>
      <w:r>
        <w:rPr>
          <w:rFonts w:hint="eastAsia" w:ascii="Times New Roman" w:hAnsi="Times New Roman"/>
          <w:lang w:eastAsia="zh-CN"/>
        </w:rPr>
        <w:t>开展</w:t>
      </w:r>
      <w:r>
        <w:rPr>
          <w:rFonts w:hint="eastAsia" w:ascii="Times New Roman" w:hAnsi="Times New Roman"/>
        </w:rPr>
        <w:t>所有专业的校内专业评估</w:t>
      </w:r>
      <w:r>
        <w:rPr>
          <w:rFonts w:hint="eastAsia"/>
        </w:rPr>
        <w:t>，</w:t>
      </w:r>
      <w:r>
        <w:rPr>
          <w:rFonts w:hint="eastAsia" w:ascii="Times New Roman" w:hAnsi="Times New Roman"/>
        </w:rPr>
        <w:t>建立了专业动态调整机制。</w:t>
      </w:r>
      <w:r>
        <w:rPr>
          <w:rFonts w:hint="eastAsia"/>
        </w:rPr>
        <w:t>通过实施“特色专业责任教授和精品课程教学名师”评聘制度，引领专业和课程建设。分类型和层次实施专业综合改革试点、战略新兴产业相关专业建设、卓越计划专业建设；转型升级17门国家级精品资源共享课、5门国家级精品视频公开课，大规模开展课程</w:t>
      </w:r>
      <w:r>
        <w:rPr>
          <w:rFonts w:hint="eastAsia" w:ascii="Times New Roman" w:hAnsi="Times New Roman"/>
        </w:rPr>
        <w:t>教学</w:t>
      </w:r>
      <w:r>
        <w:rPr>
          <w:rFonts w:hint="eastAsia"/>
        </w:rPr>
        <w:t>内容方法与考核方式</w:t>
      </w:r>
      <w:r>
        <w:rPr>
          <w:rFonts w:hint="eastAsia" w:ascii="Times New Roman" w:hAnsi="Times New Roman"/>
        </w:rPr>
        <w:t>改革与实践</w:t>
      </w:r>
      <w:r>
        <w:rPr>
          <w:rFonts w:hint="eastAsia"/>
        </w:rPr>
        <w:t>。</w:t>
      </w:r>
    </w:p>
    <w:p>
      <w:pPr>
        <w:ind w:firstLine="562"/>
      </w:pPr>
      <w:r>
        <w:rPr>
          <w:rFonts w:hint="eastAsia"/>
          <w:b/>
          <w:bCs/>
        </w:rPr>
        <w:t>大学生创新创业取得突破。</w:t>
      </w:r>
      <w:r>
        <w:rPr>
          <w:rFonts w:hint="eastAsia"/>
        </w:rPr>
        <w:t>实施行业协同培养和国际协同培养，形成了以大学生创新创业“三级链接”支撑平台、基金扶持平台、指导与服务平台三大平台为支撑的大学生创新创业体系。“十二五”时期</w:t>
      </w:r>
      <w:r>
        <w:rPr>
          <w:rFonts w:hint="eastAsia" w:ascii="Times New Roman" w:hAnsi="Times New Roman"/>
        </w:rPr>
        <w:t>，各类本科生学科竞赛获省部级以上奖</w:t>
      </w:r>
      <w:r>
        <w:rPr>
          <w:rFonts w:hint="eastAsia"/>
        </w:rPr>
        <w:t>项数</w:t>
      </w:r>
      <w:r>
        <w:rPr>
          <w:rFonts w:hint="eastAsia"/>
          <w:lang w:val="en-US" w:eastAsia="zh-CN"/>
        </w:rPr>
        <w:t>2500余项</w:t>
      </w:r>
      <w:r>
        <w:rPr>
          <w:rFonts w:hint="eastAsia"/>
        </w:rPr>
        <w:t>，多项赛事获奖级别与数量在全国位居前列。2010年以来，连续5年以总分第一的成绩获湖北省挑战杯（创青春杯），</w:t>
      </w:r>
      <w:r>
        <w:rPr>
          <w:rFonts w:hint="eastAsia"/>
          <w:lang w:eastAsia="zh-CN"/>
        </w:rPr>
        <w:t>在</w:t>
      </w:r>
      <w:r>
        <w:rPr>
          <w:rFonts w:hint="eastAsia"/>
        </w:rPr>
        <w:t>大学生机械创新设计大赛</w:t>
      </w:r>
      <w:r>
        <w:rPr>
          <w:rFonts w:hint="eastAsia"/>
          <w:lang w:eastAsia="zh-CN"/>
        </w:rPr>
        <w:t>等全国性竞赛中均取得优异成绩</w:t>
      </w:r>
      <w:r>
        <w:rPr>
          <w:rFonts w:hint="eastAsia"/>
        </w:rPr>
        <w:t>。</w:t>
      </w:r>
    </w:p>
    <w:p>
      <w:pPr>
        <w:ind w:firstLine="562"/>
      </w:pPr>
      <w:r>
        <w:rPr>
          <w:rFonts w:hint="eastAsia"/>
          <w:b/>
          <w:bCs/>
        </w:rPr>
        <w:t>教学质量监控与保障体系建设取得突破。</w:t>
      </w:r>
      <w:r>
        <w:rPr>
          <w:rFonts w:hint="eastAsia"/>
        </w:rPr>
        <w:t>改革教师教学评价办法，更加注重教师教学成效的反馈和教学水平的持续提升；在校内</w:t>
      </w:r>
      <w:r>
        <w:rPr>
          <w:rFonts w:hint="eastAsia"/>
          <w:lang w:eastAsia="zh-CN"/>
        </w:rPr>
        <w:t>和校外</w:t>
      </w:r>
      <w:r>
        <w:rPr>
          <w:rFonts w:hint="eastAsia"/>
        </w:rPr>
        <w:t>开展了多种形式的调查，加强对教学环节、教学效果的监控；同时引进麦可思调查，全方位保障教学质量。</w:t>
      </w:r>
    </w:p>
    <w:p>
      <w:pPr>
        <w:ind w:firstLine="562"/>
      </w:pPr>
      <w:r>
        <w:rPr>
          <w:rFonts w:hint="eastAsia"/>
          <w:b/>
          <w:bCs/>
        </w:rPr>
        <w:t>形成一批优秀教学成果。</w:t>
      </w:r>
      <w:r>
        <w:rPr>
          <w:rFonts w:hint="eastAsia"/>
        </w:rPr>
        <w:t>获获国家级教学成果奖2项，省级教学成果奖25项。4门课程获批“国家精品视频公开课”，17门课程获批国家级精品资源共享课，8门课程获批湖北省精品视频公开课，18门课程获批省级精品资源共享课，11部教材入选“十二五”国家级规划教材。7位教师获得“湖北名师”称号。新增校企人才联合培养基地</w:t>
      </w:r>
      <w:r>
        <w:rPr>
          <w:rFonts w:hint="eastAsia"/>
          <w:lang w:val="en-US" w:eastAsia="zh-CN"/>
        </w:rPr>
        <w:t>266个，企业兼职教师280人</w:t>
      </w:r>
      <w:r>
        <w:rPr>
          <w:rFonts w:hint="eastAsia"/>
        </w:rPr>
        <w:t>。建设13个国家级工程实践教育中心，2个湖北省示范性实习实训基地，2个省级实习实训基地</w:t>
      </w:r>
      <w:r>
        <w:rPr>
          <w:rFonts w:hint="eastAsia"/>
          <w:lang w:eastAsia="zh-CN"/>
        </w:rPr>
        <w:t>，</w:t>
      </w:r>
      <w:r>
        <w:rPr>
          <w:rFonts w:hint="eastAsia"/>
        </w:rPr>
        <w:t>10个国家级实验教学示范中心。</w:t>
      </w:r>
    </w:p>
    <w:p>
      <w:pPr>
        <w:pStyle w:val="4"/>
        <w:spacing w:before="240"/>
      </w:pPr>
      <w:bookmarkStart w:id="15" w:name="_Toc20404"/>
      <w:bookmarkStart w:id="16" w:name="_Toc29173"/>
      <w:r>
        <w:rPr>
          <w:rFonts w:hint="eastAsia"/>
        </w:rPr>
        <w:t>（二）国际国内形势分析</w:t>
      </w:r>
      <w:bookmarkEnd w:id="15"/>
      <w:bookmarkEnd w:id="16"/>
    </w:p>
    <w:p>
      <w:pPr>
        <w:spacing w:before="240"/>
      </w:pPr>
      <w:r>
        <w:rPr>
          <w:rFonts w:hint="eastAsia"/>
        </w:rPr>
        <w:t>经过“十二五”时期的发展，从总体上看，学校办学理念有了明显提升，人才培养质量正在逐步适应国家建设人力资源强国、创新型国家和特色高水平大学的需要。“十三五”时期是我国全面建成小康社会的关键时期，也是我国基本实现教育现代化的决定性阶段。面临着</w:t>
      </w:r>
      <w:r>
        <w:rPr>
          <w:rFonts w:hint="eastAsia"/>
          <w:lang w:eastAsia="zh-CN"/>
        </w:rPr>
        <w:t>复杂</w:t>
      </w:r>
      <w:r>
        <w:rPr>
          <w:rFonts w:hint="eastAsia"/>
        </w:rPr>
        <w:t>多变的国际国内形势。</w:t>
      </w:r>
    </w:p>
    <w:p>
      <w:pPr>
        <w:pStyle w:val="6"/>
      </w:pPr>
      <w:bookmarkStart w:id="17" w:name="_Toc16415"/>
      <w:bookmarkStart w:id="18" w:name="_Toc20111"/>
      <w:r>
        <w:rPr>
          <w:rFonts w:hint="eastAsia"/>
          <w:lang w:val="en-US" w:eastAsia="zh-CN"/>
        </w:rPr>
        <w:t>1.</w:t>
      </w:r>
      <w:r>
        <w:rPr>
          <w:rFonts w:hint="eastAsia"/>
        </w:rPr>
        <w:t>全球化和第四次工业革命带来的发展机遇</w:t>
      </w:r>
      <w:r>
        <w:rPr>
          <w:rFonts w:hint="eastAsia"/>
          <w:lang w:eastAsia="zh-CN"/>
        </w:rPr>
        <w:t>与挑战</w:t>
      </w:r>
      <w:bookmarkEnd w:id="17"/>
      <w:bookmarkEnd w:id="18"/>
    </w:p>
    <w:p>
      <w:pPr>
        <w:rPr>
          <w:rFonts w:hint="eastAsia"/>
        </w:rPr>
      </w:pPr>
      <w:r>
        <w:rPr>
          <w:rFonts w:hint="eastAsia"/>
        </w:rPr>
        <w:t>当今，世界经济在再平衡中艰难复苏，国际环境复杂多变。人才、资本、技术、信息等在全球范围加快流动，各方面联系日益紧密。全球制造业、劳动密集型产业竞争加剧，全球经济增速放缓，资源供求关系变化，科技和产业变革孕育着新突破。集成数据化、智慧化、个人化的生产制造、销售供应的工业4.0时代也随之到来，中国制造业的顶层设计“中国制造2025”也已经推出，这是中国第一次与美国、欧盟、日本等发达国家站在同一起跑线上，在加速信息工业革命的同时发动和创新第四次绿色工业革命的新机遇，这也是学校积极主动地参与和支撑国家创新驱动发展战略，培养适应产业变革的创新人才的新机遇。</w:t>
      </w:r>
    </w:p>
    <w:p>
      <w:pPr>
        <w:rPr>
          <w:rFonts w:hint="eastAsia"/>
        </w:rPr>
      </w:pPr>
      <w:r>
        <w:rPr>
          <w:rFonts w:hint="eastAsia"/>
          <w:lang w:eastAsia="zh-CN"/>
        </w:rPr>
        <w:t>在经济全球化和第四次工业革命到来之时，</w:t>
      </w:r>
      <w:r>
        <w:rPr>
          <w:rFonts w:hint="eastAsia"/>
        </w:rPr>
        <w:t>国家提出“大众创业、万众创新”的改革措施，要增强教育对区域经济社会发展的服务贡献能力，促进经济增长从主要依靠劳动力成本优势向劳动力价值创造优势转变，学校必须积极主动地参与和支撑国家创新驱动发展战略，持续培养适应行业产业变革、适应区域经济发展的人才，持续提供创新成果，全球化的到来也为学校培养学生的全球视野和国际竞争力提出了新的挑战。</w:t>
      </w:r>
    </w:p>
    <w:p>
      <w:pPr>
        <w:pStyle w:val="6"/>
      </w:pPr>
      <w:bookmarkStart w:id="19" w:name="_Toc13902"/>
      <w:bookmarkStart w:id="20" w:name="_Toc24090"/>
      <w:r>
        <w:rPr>
          <w:rFonts w:hint="eastAsia"/>
          <w:lang w:val="en-US" w:eastAsia="zh-CN"/>
        </w:rPr>
        <w:t>2.</w:t>
      </w:r>
      <w:r>
        <w:rPr>
          <w:rFonts w:hint="eastAsia"/>
        </w:rPr>
        <w:t>“四个全面”战略布局和三大行业产业转型升级带来的发展机遇</w:t>
      </w:r>
      <w:r>
        <w:rPr>
          <w:rFonts w:hint="eastAsia"/>
          <w:lang w:eastAsia="zh-CN"/>
        </w:rPr>
        <w:t>和对人才培养提出的挑战</w:t>
      </w:r>
      <w:bookmarkEnd w:id="19"/>
      <w:bookmarkEnd w:id="20"/>
    </w:p>
    <w:p>
      <w:pPr>
        <w:rPr>
          <w:rFonts w:hint="eastAsia"/>
        </w:rPr>
      </w:pPr>
      <w:r>
        <w:rPr>
          <w:rFonts w:hint="eastAsia"/>
        </w:rPr>
        <w:t>党中央提出“全面建设小康社会、全面深化改革、全面依法治国、全面从严治党”的战略布局，大学发展逻辑、评价标准、资源获取方式等将随之发生重大变化。全面深化改革、全面依法治国将为学校“十三五”时期的全面综合改革带来重大机遇，学校办学自主权的强化有利于按照学校自身特色和社会行业需求调整专业结构和人才培养模式，政府部门行政管理的弱化有利于学校专注于现代大学制度建设，拓宽和行业企业、和区域经济社会发展的联系，对接人才培养的需求。</w:t>
      </w:r>
    </w:p>
    <w:p>
      <w:pPr>
        <w:rPr>
          <w:rFonts w:hint="eastAsia"/>
        </w:rPr>
      </w:pPr>
      <w:r>
        <w:rPr>
          <w:rFonts w:hint="eastAsia"/>
        </w:rPr>
        <w:t>“一带一路”、长江经济带和城镇化等战略的实施，以及行业经济产业融合、创新驱动、绿色发展、国际化的发展路径，为学校学科专业的交叉融合发展提供了新机遇，绿色建材、水陆交通、物联网、新能源汽车等行业发展的新趋势</w:t>
      </w:r>
      <w:r>
        <w:rPr>
          <w:rFonts w:hint="eastAsia"/>
          <w:lang w:eastAsia="zh-CN"/>
        </w:rPr>
        <w:t>，</w:t>
      </w:r>
      <w:r>
        <w:rPr>
          <w:rFonts w:hint="eastAsia"/>
        </w:rPr>
        <w:t>对学校</w:t>
      </w:r>
      <w:r>
        <w:rPr>
          <w:rFonts w:hint="eastAsia"/>
          <w:lang w:eastAsia="zh-CN"/>
        </w:rPr>
        <w:t>培养</w:t>
      </w:r>
      <w:r>
        <w:rPr>
          <w:rFonts w:hint="eastAsia"/>
        </w:rPr>
        <w:t>面向科技前沿、支撑三大行业、引领区域发展的交通、建材、机械、汽车、信息等学科专业人才提出了新</w:t>
      </w:r>
      <w:r>
        <w:rPr>
          <w:rFonts w:hint="eastAsia"/>
          <w:lang w:eastAsia="zh-CN"/>
        </w:rPr>
        <w:t>挑战。</w:t>
      </w:r>
    </w:p>
    <w:p>
      <w:pPr>
        <w:pStyle w:val="6"/>
      </w:pPr>
      <w:bookmarkStart w:id="21" w:name="_Toc13674"/>
      <w:bookmarkStart w:id="22" w:name="_Toc26194"/>
      <w:r>
        <w:rPr>
          <w:rFonts w:hint="eastAsia"/>
          <w:lang w:val="en-US" w:eastAsia="zh-CN"/>
        </w:rPr>
        <w:t>3.</w:t>
      </w:r>
      <w:r>
        <w:rPr>
          <w:rFonts w:hint="eastAsia"/>
        </w:rPr>
        <w:t>全面深化教育综合改革带来的发展机遇</w:t>
      </w:r>
      <w:r>
        <w:rPr>
          <w:rFonts w:hint="eastAsia"/>
          <w:lang w:eastAsia="zh-CN"/>
        </w:rPr>
        <w:t>和挑战</w:t>
      </w:r>
      <w:bookmarkEnd w:id="21"/>
      <w:bookmarkEnd w:id="22"/>
    </w:p>
    <w:p>
      <w:pPr>
        <w:rPr>
          <w:rFonts w:hint="eastAsia"/>
        </w:rPr>
      </w:pPr>
      <w:r>
        <w:rPr>
          <w:rFonts w:hint="eastAsia"/>
        </w:rPr>
        <w:t>党的十八大报告提出深化教育领域综合改革，是对教育改革提出的新要求，2013年，教育部发布《教育部关于2013年深化教育领域综合改革的意见（教改[2013]1号）》</w:t>
      </w:r>
      <w:r>
        <w:rPr>
          <w:rFonts w:hint="eastAsia"/>
          <w:lang w:eastAsia="zh-CN"/>
        </w:rPr>
        <w:t>，</w:t>
      </w:r>
      <w:r>
        <w:rPr>
          <w:rFonts w:hint="eastAsia"/>
        </w:rPr>
        <w:t>教育部2015年工作要点提出要全面深化教育综合改革，加快推进教育治理体系和治理能力现代化，提出进一步减少和严格规范政府对高等学校的行政审批，减少行政干预，理顺大学、政府和社会的关系，落实高校办学自主权，建立现代大学制度。“十三五”是综合改革全面推向全面和推向深入的关键时期，教育部为各高校进一步扩大办学自主权提供了良好的政策环境和条件，学校可把握这一重要机遇，打破原有的传统制度框架，通过制定体现学校核心价值追求、以学生发展为本、三大行业和社会广泛参与的综合改革方案，争取各级政府、相关行业对于学校人才培养的参与和投入。</w:t>
      </w:r>
    </w:p>
    <w:p>
      <w:pPr>
        <w:rPr>
          <w:rFonts w:hint="eastAsia"/>
        </w:rPr>
      </w:pPr>
      <w:r>
        <w:rPr>
          <w:rFonts w:hint="eastAsia"/>
          <w:lang w:val="en-US" w:eastAsia="zh-CN"/>
        </w:rPr>
        <w:t>当前，</w:t>
      </w:r>
      <w:r>
        <w:rPr>
          <w:rFonts w:hint="eastAsia"/>
        </w:rPr>
        <w:t>学校卓越教育体系尚未完全建立，面向科技前沿、支撑三大行业、引领区域发展的创新人才培养数量和质量还不能适应国家创新驱动发展对创新人才的重大需求;与学校崇高大学理想和卓越教育相适应的现代大学治理体系没有完全形成，教育教学管理体制与机制还不能满足以学生的发展为中心，为学生的成人成才服务</w:t>
      </w:r>
      <w:r>
        <w:rPr>
          <w:rFonts w:hint="eastAsia"/>
          <w:lang w:eastAsia="zh-CN"/>
        </w:rPr>
        <w:t>，这是当前学校面临的挑战</w:t>
      </w:r>
      <w:r>
        <w:rPr>
          <w:rFonts w:hint="eastAsia"/>
        </w:rPr>
        <w:t>。</w:t>
      </w:r>
    </w:p>
    <w:p>
      <w:pPr>
        <w:pStyle w:val="6"/>
      </w:pPr>
      <w:bookmarkStart w:id="23" w:name="_Toc18446"/>
      <w:bookmarkStart w:id="24" w:name="_Toc22414"/>
      <w:r>
        <w:rPr>
          <w:rFonts w:hint="eastAsia"/>
          <w:lang w:val="en-US" w:eastAsia="zh-CN"/>
        </w:rPr>
        <w:t>4.</w:t>
      </w:r>
      <w:r>
        <w:rPr>
          <w:rFonts w:hint="eastAsia"/>
        </w:rPr>
        <w:t>教育技术快速发展带来的发展机遇</w:t>
      </w:r>
      <w:r>
        <w:rPr>
          <w:rFonts w:hint="eastAsia"/>
          <w:lang w:eastAsia="zh-CN"/>
        </w:rPr>
        <w:t>和挑战</w:t>
      </w:r>
      <w:bookmarkEnd w:id="23"/>
      <w:bookmarkEnd w:id="24"/>
    </w:p>
    <w:p>
      <w:pPr>
        <w:rPr>
          <w:rFonts w:hint="eastAsia"/>
        </w:rPr>
      </w:pPr>
      <w:r>
        <w:t>随着以信息技术为标志的新技术革命突飞猛进，先进教育技术大量涌现，</w:t>
      </w:r>
      <w:r>
        <w:rPr>
          <w:rFonts w:hint="eastAsia"/>
        </w:rPr>
        <w:t>互联网和信息技术</w:t>
      </w:r>
      <w:r>
        <w:t>正深度改变着现有的教育教学方式、</w:t>
      </w:r>
      <w:r>
        <w:rPr>
          <w:rFonts w:hint="eastAsia"/>
        </w:rPr>
        <w:t>教学</w:t>
      </w:r>
      <w:r>
        <w:t>思维模式和</w:t>
      </w:r>
      <w:r>
        <w:rPr>
          <w:rFonts w:hint="eastAsia"/>
        </w:rPr>
        <w:t>教学</w:t>
      </w:r>
      <w:r>
        <w:t>组织形式，</w:t>
      </w:r>
      <w:r>
        <w:rPr>
          <w:rFonts w:hint="eastAsia"/>
        </w:rPr>
        <w:t>学生的多样化学习需求和个性化成长需求更加凸显，这也给学校在教学组织、教学管理、教学评价、教学资源整合和平台建设等多方面带来了新的机遇。</w:t>
      </w:r>
    </w:p>
    <w:p>
      <w:r>
        <w:rPr>
          <w:rFonts w:hint="eastAsia"/>
        </w:rPr>
        <w:t>随着知识经济发展和创新型国家建设，经济社会和行业企业对人才的多样化需求大大增加，对创新创业能力的要求大大提高，学生的批判性思维和创新精神来自于每个教学环节，而单一的趋同的人才培养模式无法满足，以传授知识为课堂教学主要形式的教学模式无法满足，</w:t>
      </w:r>
      <w:r>
        <w:rPr>
          <w:rFonts w:hint="eastAsia"/>
          <w:lang w:eastAsia="zh-CN"/>
        </w:rPr>
        <w:t>如何改革现有的教育教学模式，</w:t>
      </w:r>
      <w:r>
        <w:rPr>
          <w:rFonts w:hint="eastAsia"/>
        </w:rPr>
        <w:t>为人才提供个性化发展和成才的空间，为创新人才的脱颖而出创造良好的环境，是学校人才培养面临的重大挑战。</w:t>
      </w:r>
    </w:p>
    <w:p>
      <w:pPr>
        <w:pStyle w:val="4"/>
      </w:pPr>
      <w:bookmarkStart w:id="25" w:name="_Toc366"/>
      <w:bookmarkStart w:id="26" w:name="_Toc6874"/>
      <w:r>
        <w:rPr>
          <w:rFonts w:hint="eastAsia"/>
        </w:rPr>
        <w:t>（三）存在问题及差距</w:t>
      </w:r>
      <w:bookmarkEnd w:id="25"/>
      <w:bookmarkEnd w:id="26"/>
    </w:p>
    <w:p>
      <w:r>
        <w:rPr>
          <w:rFonts w:hint="eastAsia"/>
        </w:rPr>
        <w:t>站在新的历史起点，面对国家创新驱动发展战略的新要求、面对学校全面深化改革的新挑战、面对三大行业</w:t>
      </w:r>
      <w:r>
        <w:rPr>
          <w:rFonts w:hint="eastAsia"/>
          <w:lang w:eastAsia="zh-CN"/>
        </w:rPr>
        <w:t>发展</w:t>
      </w:r>
      <w:r>
        <w:rPr>
          <w:rFonts w:hint="eastAsia"/>
        </w:rPr>
        <w:t>对于卓越人才的新期待，我们清醒地认识到，当前学校人才培养与国内一流大学相比还存在着较大差距，与学校发展需要相比还有许多不适应的地方，学校的人才培养也存在一些不容忽视的突出问题，主要有：</w:t>
      </w:r>
    </w:p>
    <w:p>
      <w:pPr>
        <w:pStyle w:val="6"/>
        <w:rPr>
          <w:rFonts w:hint="eastAsia"/>
          <w:lang w:val="en-US" w:eastAsia="zh-CN"/>
        </w:rPr>
      </w:pPr>
      <w:bookmarkStart w:id="27" w:name="_Toc11751"/>
      <w:bookmarkStart w:id="28" w:name="_Toc24023"/>
      <w:r>
        <w:rPr>
          <w:rFonts w:hint="eastAsia"/>
          <w:lang w:val="en-US" w:eastAsia="zh-CN"/>
        </w:rPr>
        <w:t>1.卓越教育理念</w:t>
      </w:r>
      <w:bookmarkEnd w:id="27"/>
      <w:r>
        <w:rPr>
          <w:rFonts w:hint="eastAsia"/>
          <w:lang w:val="en-US" w:eastAsia="zh-CN"/>
        </w:rPr>
        <w:t>有待进一步普及深入</w:t>
      </w:r>
      <w:bookmarkEnd w:id="28"/>
    </w:p>
    <w:p>
      <w:pPr>
        <w:rPr>
          <w:rFonts w:hint="eastAsia"/>
        </w:rPr>
      </w:pPr>
      <w:r>
        <w:rPr>
          <w:rFonts w:hint="eastAsia"/>
        </w:rPr>
        <w:t>卓越教育理念</w:t>
      </w:r>
      <w:r>
        <w:rPr>
          <w:rFonts w:hint="eastAsia"/>
          <w:lang w:eastAsia="zh-CN"/>
        </w:rPr>
        <w:t>在</w:t>
      </w:r>
      <w:r>
        <w:rPr>
          <w:rFonts w:hint="eastAsia"/>
        </w:rPr>
        <w:t>教师和教学管理人员</w:t>
      </w:r>
      <w:r>
        <w:rPr>
          <w:rFonts w:hint="eastAsia"/>
          <w:lang w:eastAsia="zh-CN"/>
        </w:rPr>
        <w:t>中</w:t>
      </w:r>
      <w:r>
        <w:rPr>
          <w:rFonts w:hint="eastAsia"/>
        </w:rPr>
        <w:t>的普及和深入程度不够，还没有内化到人才培养全过程的各个方面中，还没有转化为每一位教师和教学管理人员的事业追求</w:t>
      </w:r>
      <w:r>
        <w:rPr>
          <w:rFonts w:hint="eastAsia"/>
          <w:lang w:eastAsia="zh-CN"/>
        </w:rPr>
        <w:t>。</w:t>
      </w:r>
    </w:p>
    <w:p>
      <w:pPr>
        <w:pStyle w:val="6"/>
        <w:numPr>
          <w:ilvl w:val="0"/>
          <w:numId w:val="1"/>
        </w:numPr>
        <w:rPr>
          <w:rFonts w:hint="eastAsia"/>
          <w:lang w:val="en-US" w:eastAsia="zh-CN"/>
        </w:rPr>
      </w:pPr>
      <w:bookmarkStart w:id="29" w:name="_Toc14367"/>
      <w:bookmarkStart w:id="30" w:name="_Toc22957"/>
      <w:r>
        <w:rPr>
          <w:rFonts w:hint="eastAsia"/>
          <w:lang w:val="en-US" w:eastAsia="zh-CN"/>
        </w:rPr>
        <w:t>专业结构与布局</w:t>
      </w:r>
      <w:bookmarkEnd w:id="29"/>
      <w:r>
        <w:rPr>
          <w:rFonts w:hint="eastAsia"/>
          <w:lang w:val="en-US" w:eastAsia="zh-CN"/>
        </w:rPr>
        <w:t>有待进一步优化</w:t>
      </w:r>
      <w:bookmarkEnd w:id="30"/>
    </w:p>
    <w:p>
      <w:pPr>
        <w:rPr>
          <w:rFonts w:hint="eastAsia"/>
          <w:lang w:val="en-US" w:eastAsia="zh-CN"/>
        </w:rPr>
      </w:pPr>
      <w:r>
        <w:rPr>
          <w:rFonts w:hint="eastAsia"/>
          <w:lang w:val="en-US" w:eastAsia="zh-CN"/>
        </w:rPr>
        <w:t>学科专业发展不平衡，存在不同学院办相同或相似专业的现象，专业结构与布局主动适应社会经济发展需求和行业对于人才的需求有待进一步优化。</w:t>
      </w:r>
      <w:r>
        <w:rPr>
          <w:rFonts w:hint="eastAsia"/>
        </w:rPr>
        <w:t>培养体系和环节</w:t>
      </w:r>
      <w:r>
        <w:rPr>
          <w:rFonts w:hint="eastAsia"/>
          <w:lang w:eastAsia="zh-CN"/>
        </w:rPr>
        <w:t>不尽</w:t>
      </w:r>
      <w:r>
        <w:rPr>
          <w:rFonts w:hint="eastAsia"/>
        </w:rPr>
        <w:t>合理，学科专业交叉融合不够，人才培养质量对社会需求的满足度还有差距</w:t>
      </w:r>
      <w:r>
        <w:rPr>
          <w:rFonts w:hint="eastAsia"/>
          <w:lang w:eastAsia="zh-CN"/>
        </w:rPr>
        <w:t>。</w:t>
      </w:r>
    </w:p>
    <w:p>
      <w:pPr>
        <w:pStyle w:val="6"/>
        <w:numPr>
          <w:ilvl w:val="0"/>
          <w:numId w:val="1"/>
        </w:numPr>
        <w:ind w:firstLine="560" w:firstLineChars="200"/>
        <w:rPr>
          <w:rFonts w:hint="eastAsia"/>
          <w:lang w:val="en-US" w:eastAsia="zh-CN"/>
        </w:rPr>
      </w:pPr>
      <w:bookmarkStart w:id="31" w:name="_Toc29419"/>
      <w:bookmarkStart w:id="32" w:name="_Toc207"/>
      <w:r>
        <w:rPr>
          <w:rFonts w:hint="eastAsia"/>
          <w:lang w:val="en-US" w:eastAsia="zh-CN"/>
        </w:rPr>
        <w:t>创新创业人才培养有待进一步加强</w:t>
      </w:r>
      <w:bookmarkEnd w:id="31"/>
      <w:bookmarkEnd w:id="32"/>
    </w:p>
    <w:p>
      <w:pPr>
        <w:rPr>
          <w:rFonts w:hint="eastAsia"/>
          <w:lang w:val="en-US" w:eastAsia="zh-CN"/>
        </w:rPr>
      </w:pPr>
      <w:r>
        <w:rPr>
          <w:rFonts w:hint="eastAsia"/>
        </w:rPr>
        <w:t>教学国际化程度和水平不足</w:t>
      </w:r>
      <w:r>
        <w:rPr>
          <w:rFonts w:hint="eastAsia"/>
          <w:lang w:eastAsia="zh-CN"/>
        </w:rPr>
        <w:t>，</w:t>
      </w:r>
      <w:r>
        <w:rPr>
          <w:rFonts w:hint="eastAsia"/>
          <w:lang w:val="en-US" w:eastAsia="zh-CN"/>
        </w:rPr>
        <w:t>创新创业的理念和措施尚未融入到每一位教师的教学行为中</w:t>
      </w:r>
      <w:r>
        <w:rPr>
          <w:rFonts w:hint="eastAsia"/>
        </w:rPr>
        <w:t>；课程教学方法与考核方式单一，教学内容前沿性不足；批判性思维训练和创新与创业教育尚未融入到人才培养全过程</w:t>
      </w:r>
      <w:r>
        <w:rPr>
          <w:rFonts w:hint="eastAsia"/>
          <w:lang w:eastAsia="zh-CN"/>
        </w:rPr>
        <w:t>。</w:t>
      </w:r>
    </w:p>
    <w:p>
      <w:pPr>
        <w:pStyle w:val="6"/>
        <w:numPr>
          <w:ilvl w:val="0"/>
          <w:numId w:val="1"/>
        </w:numPr>
        <w:ind w:firstLine="560" w:firstLineChars="200"/>
        <w:rPr>
          <w:rFonts w:hint="eastAsia"/>
          <w:lang w:val="en-US" w:eastAsia="zh-CN"/>
        </w:rPr>
      </w:pPr>
      <w:bookmarkStart w:id="33" w:name="_Toc7273"/>
      <w:bookmarkStart w:id="34" w:name="_Toc283"/>
      <w:r>
        <w:rPr>
          <w:rFonts w:hint="eastAsia"/>
          <w:lang w:val="en-US" w:eastAsia="zh-CN"/>
        </w:rPr>
        <w:t>本科生国际交流数量偏低</w:t>
      </w:r>
    </w:p>
    <w:p>
      <w:pPr>
        <w:rPr>
          <w:rFonts w:hint="eastAsia"/>
          <w:lang w:val="en-US" w:eastAsia="zh-CN"/>
        </w:rPr>
      </w:pPr>
      <w:r>
        <w:rPr>
          <w:rFonts w:hint="eastAsia"/>
        </w:rPr>
        <w:t>本科生国际交流的数量偏低，学科和专业分布不平衡。</w:t>
      </w:r>
      <w:r>
        <w:rPr>
          <w:rFonts w:hint="eastAsia"/>
          <w:lang w:eastAsia="zh-CN"/>
        </w:rPr>
        <w:t>“</w:t>
      </w:r>
      <w:r>
        <w:rPr>
          <w:rFonts w:hint="eastAsia"/>
          <w:lang w:val="en-US" w:eastAsia="zh-CN"/>
        </w:rPr>
        <w:t>十二五</w:t>
      </w:r>
      <w:r>
        <w:rPr>
          <w:rFonts w:hint="eastAsia"/>
          <w:lang w:eastAsia="zh-CN"/>
        </w:rPr>
        <w:t>”</w:t>
      </w:r>
      <w:r>
        <w:t>期间，我校通过国家留学基金委项目和校际学生交流项目本科学生赴</w:t>
      </w:r>
      <w:r>
        <w:rPr>
          <w:rFonts w:hint="eastAsia"/>
        </w:rPr>
        <w:t>境</w:t>
      </w:r>
      <w:r>
        <w:t>外学习和交流</w:t>
      </w:r>
      <w:r>
        <w:rPr>
          <w:rFonts w:hint="eastAsia"/>
          <w:lang w:val="en-US" w:eastAsia="zh-CN"/>
        </w:rPr>
        <w:t>的人数</w:t>
      </w:r>
      <w:r>
        <w:t>占在校人数</w:t>
      </w:r>
      <w:r>
        <w:rPr>
          <w:rFonts w:hint="eastAsia"/>
          <w:lang w:val="en-US" w:eastAsia="zh-CN"/>
        </w:rPr>
        <w:t>仅</w:t>
      </w:r>
      <w:r>
        <w:t>2%，与学校“两个一流”的建设目标和卓越人才培养要求还有较大的差距。</w:t>
      </w:r>
    </w:p>
    <w:p>
      <w:pPr>
        <w:pStyle w:val="6"/>
        <w:numPr>
          <w:ilvl w:val="0"/>
          <w:numId w:val="1"/>
        </w:numPr>
        <w:ind w:firstLine="560" w:firstLineChars="200"/>
        <w:rPr>
          <w:rFonts w:hint="eastAsia"/>
          <w:lang w:val="en-US" w:eastAsia="zh-CN"/>
        </w:rPr>
      </w:pPr>
      <w:r>
        <w:rPr>
          <w:rFonts w:hint="eastAsia"/>
          <w:lang w:val="en-US" w:eastAsia="zh-CN"/>
        </w:rPr>
        <w:t>基层教研组织有待进一步健全</w:t>
      </w:r>
      <w:bookmarkEnd w:id="33"/>
      <w:bookmarkEnd w:id="34"/>
    </w:p>
    <w:p>
      <w:pPr>
        <w:rPr>
          <w:rFonts w:hint="eastAsia"/>
          <w:lang w:val="en-US" w:eastAsia="zh-CN"/>
        </w:rPr>
      </w:pPr>
      <w:r>
        <w:rPr>
          <w:rFonts w:hint="eastAsia"/>
          <w:lang w:val="en-US" w:eastAsia="zh-CN"/>
        </w:rPr>
        <w:t>教学研究活动主要在学校层面开展，基层教学研究组织不健全，教研活动不丰富，基于专业和课程的教师教学团队建设急需进一步加强。</w:t>
      </w:r>
      <w:r>
        <w:rPr>
          <w:rFonts w:hint="eastAsia"/>
        </w:rPr>
        <w:t>教师教学能力和国际化水平提升的通道和机制尚未</w:t>
      </w:r>
      <w:r>
        <w:rPr>
          <w:rFonts w:hint="eastAsia"/>
          <w:lang w:eastAsia="zh-CN"/>
        </w:rPr>
        <w:t>完善。</w:t>
      </w:r>
    </w:p>
    <w:p>
      <w:pPr>
        <w:pStyle w:val="6"/>
        <w:numPr>
          <w:ilvl w:val="0"/>
          <w:numId w:val="1"/>
        </w:numPr>
        <w:ind w:firstLine="560" w:firstLineChars="200"/>
        <w:rPr>
          <w:rFonts w:hint="eastAsia"/>
          <w:lang w:val="en-US" w:eastAsia="zh-CN"/>
        </w:rPr>
      </w:pPr>
      <w:bookmarkStart w:id="35" w:name="_Toc9611"/>
      <w:bookmarkStart w:id="36" w:name="_Toc2113"/>
      <w:r>
        <w:rPr>
          <w:rFonts w:hint="eastAsia"/>
          <w:lang w:val="en-US" w:eastAsia="zh-CN"/>
        </w:rPr>
        <w:t>实践教学的学生满意度有待提升</w:t>
      </w:r>
      <w:bookmarkEnd w:id="35"/>
      <w:bookmarkEnd w:id="36"/>
    </w:p>
    <w:p>
      <w:pPr>
        <w:rPr>
          <w:rFonts w:hint="eastAsia"/>
          <w:lang w:val="en-US" w:eastAsia="zh-CN"/>
        </w:rPr>
      </w:pPr>
      <w:r>
        <w:rPr>
          <w:rFonts w:hint="eastAsia"/>
          <w:lang w:eastAsia="zh-CN"/>
        </w:rPr>
        <w:t>学生对于实践教学环节的教学质量与教学效果满意度不高，</w:t>
      </w:r>
      <w:r>
        <w:rPr>
          <w:rFonts w:hint="eastAsia"/>
        </w:rPr>
        <w:t>教学评价激励机制亟待改革。</w:t>
      </w:r>
      <w:r>
        <w:rPr>
          <w:rFonts w:hint="eastAsia" w:ascii="宋体" w:hAnsi="宋体"/>
          <w:sz w:val="28"/>
          <w:szCs w:val="28"/>
        </w:rPr>
        <w:t>实践教学环节学生满意度低的主要原因在于教师投入力度不够,实习</w:t>
      </w:r>
      <w:r>
        <w:rPr>
          <w:rFonts w:ascii="宋体" w:hAnsi="宋体"/>
          <w:sz w:val="28"/>
          <w:szCs w:val="28"/>
        </w:rPr>
        <w:t>方式单一、实习安排不太合理</w:t>
      </w:r>
      <w:r>
        <w:rPr>
          <w:rFonts w:hint="eastAsia" w:ascii="宋体" w:hAnsi="宋体"/>
          <w:sz w:val="28"/>
          <w:szCs w:val="28"/>
        </w:rPr>
        <w:t>，</w:t>
      </w:r>
      <w:r>
        <w:rPr>
          <w:rFonts w:ascii="宋体" w:hAnsi="宋体"/>
          <w:sz w:val="28"/>
          <w:szCs w:val="28"/>
        </w:rPr>
        <w:t>实习教学</w:t>
      </w:r>
      <w:r>
        <w:rPr>
          <w:rFonts w:hint="eastAsia" w:ascii="宋体" w:hAnsi="宋体"/>
          <w:sz w:val="28"/>
          <w:szCs w:val="28"/>
        </w:rPr>
        <w:t>内容</w:t>
      </w:r>
      <w:r>
        <w:rPr>
          <w:rFonts w:ascii="宋体" w:hAnsi="宋体"/>
          <w:sz w:val="28"/>
          <w:szCs w:val="28"/>
        </w:rPr>
        <w:t>与人才培养要求不一致。</w:t>
      </w:r>
      <w:r>
        <w:rPr>
          <w:rFonts w:hint="eastAsia" w:ascii="宋体" w:hAnsi="宋体"/>
          <w:sz w:val="28"/>
          <w:szCs w:val="28"/>
        </w:rPr>
        <w:t>实践</w:t>
      </w:r>
      <w:r>
        <w:rPr>
          <w:rFonts w:ascii="宋体" w:hAnsi="宋体"/>
          <w:sz w:val="28"/>
          <w:szCs w:val="28"/>
        </w:rPr>
        <w:t>教学环节</w:t>
      </w:r>
      <w:r>
        <w:rPr>
          <w:rFonts w:hint="eastAsia" w:ascii="宋体" w:hAnsi="宋体"/>
          <w:sz w:val="28"/>
          <w:szCs w:val="28"/>
        </w:rPr>
        <w:t>进一步加强落实，</w:t>
      </w:r>
      <w:r>
        <w:rPr>
          <w:rFonts w:ascii="宋体" w:hAnsi="宋体"/>
          <w:sz w:val="28"/>
          <w:szCs w:val="28"/>
        </w:rPr>
        <w:t>达到预期效果</w:t>
      </w:r>
      <w:r>
        <w:rPr>
          <w:rFonts w:hint="eastAsia" w:ascii="宋体" w:hAnsi="宋体"/>
          <w:sz w:val="28"/>
          <w:szCs w:val="28"/>
        </w:rPr>
        <w:t>。</w:t>
      </w:r>
    </w:p>
    <w:p>
      <w:pPr>
        <w:pStyle w:val="6"/>
        <w:numPr>
          <w:ilvl w:val="0"/>
          <w:numId w:val="1"/>
        </w:numPr>
        <w:ind w:firstLine="560" w:firstLineChars="200"/>
        <w:rPr>
          <w:rFonts w:hint="eastAsia"/>
          <w:lang w:val="en-US" w:eastAsia="zh-CN"/>
        </w:rPr>
      </w:pPr>
      <w:bookmarkStart w:id="37" w:name="_Toc32644"/>
      <w:bookmarkStart w:id="38" w:name="_Toc24418"/>
      <w:r>
        <w:rPr>
          <w:rFonts w:hint="eastAsia"/>
          <w:lang w:val="en-US" w:eastAsia="zh-CN"/>
        </w:rPr>
        <w:t>校内外教学资源和教学条件</w:t>
      </w:r>
      <w:bookmarkEnd w:id="37"/>
      <w:r>
        <w:rPr>
          <w:rFonts w:hint="eastAsia"/>
          <w:lang w:val="en-US" w:eastAsia="zh-CN"/>
        </w:rPr>
        <w:t>有待进一步建设</w:t>
      </w:r>
      <w:bookmarkEnd w:id="38"/>
    </w:p>
    <w:p>
      <w:pPr>
        <w:rPr>
          <w:rFonts w:hint="eastAsia"/>
        </w:rPr>
      </w:pPr>
      <w:r>
        <w:rPr>
          <w:rFonts w:hint="eastAsia"/>
        </w:rPr>
        <w:t>校内外教学资源分散重复建设、优势不突出，发挥实质性作用的人才联合培养基地数量不够。重新整合资源优化配置，以集约创新的理念和集成式、现代化、综合型思路建立实践教学基地，构建新的实践教学平台，共享实践教学资源</w:t>
      </w:r>
      <w:r>
        <w:rPr>
          <w:rFonts w:hint="eastAsia"/>
          <w:lang w:eastAsia="zh-CN"/>
        </w:rPr>
        <w:t>的相关工作尚未有效落实</w:t>
      </w:r>
      <w:r>
        <w:rPr>
          <w:rFonts w:hint="eastAsia"/>
        </w:rPr>
        <w:t>。</w:t>
      </w:r>
    </w:p>
    <w:p>
      <w:pPr>
        <w:pStyle w:val="3"/>
      </w:pPr>
      <w:bookmarkStart w:id="39" w:name="_Toc13805"/>
      <w:bookmarkStart w:id="40" w:name="_Toc20280"/>
      <w:r>
        <w:rPr>
          <w:rFonts w:hint="eastAsia"/>
        </w:rPr>
        <w:t>二、建设内容</w:t>
      </w:r>
      <w:bookmarkEnd w:id="39"/>
      <w:bookmarkEnd w:id="40"/>
    </w:p>
    <w:p>
      <w:pPr>
        <w:pStyle w:val="4"/>
      </w:pPr>
      <w:bookmarkStart w:id="41" w:name="_Toc12086"/>
      <w:bookmarkStart w:id="42" w:name="_Toc6244"/>
      <w:r>
        <w:rPr>
          <w:rFonts w:hint="eastAsia"/>
        </w:rPr>
        <w:t>（一）目标定位</w:t>
      </w:r>
      <w:bookmarkEnd w:id="41"/>
      <w:bookmarkEnd w:id="42"/>
    </w:p>
    <w:p>
      <w:pPr>
        <w:rPr>
          <w:rFonts w:hint="eastAsia"/>
          <w:lang w:val="en-US" w:eastAsia="zh-CN"/>
        </w:rPr>
      </w:pPr>
      <w:r>
        <w:rPr>
          <w:rFonts w:hint="eastAsia" w:ascii="仿宋" w:hAnsi="仿宋" w:eastAsia="仿宋" w:cs="黑体"/>
          <w:lang w:eastAsia="zh-CN"/>
        </w:rPr>
        <w:t>到</w:t>
      </w:r>
      <w:r>
        <w:rPr>
          <w:rFonts w:hint="eastAsia" w:ascii="仿宋" w:hAnsi="仿宋" w:eastAsia="仿宋" w:cs="黑体"/>
          <w:lang w:val="en-US" w:eastAsia="zh-CN"/>
        </w:rPr>
        <w:t>2020年，</w:t>
      </w:r>
      <w:r>
        <w:rPr>
          <w:rFonts w:hint="eastAsia" w:hAnsi="仿宋" w:eastAsia="仿宋"/>
          <w:bCs w:val="0"/>
          <w:sz w:val="28"/>
          <w:szCs w:val="28"/>
        </w:rPr>
        <w:t>建设材料科学与工程国际化示范学院；培育建设先进制造与信息化国际化试点学院；特色优势专业进入全国专业排名前</w:t>
      </w:r>
      <w:r>
        <w:rPr>
          <w:rFonts w:hint="eastAsia" w:eastAsia="仿宋"/>
          <w:bCs w:val="0"/>
          <w:sz w:val="28"/>
          <w:szCs w:val="28"/>
        </w:rPr>
        <w:t>10%</w:t>
      </w:r>
      <w:r>
        <w:rPr>
          <w:rFonts w:hint="eastAsia"/>
          <w:lang w:val="en-US" w:eastAsia="zh-CN"/>
        </w:rPr>
        <w:t>，</w:t>
      </w:r>
      <w:r>
        <w:rPr>
          <w:rFonts w:hint="eastAsia" w:hAnsi="仿宋" w:eastAsia="仿宋"/>
          <w:bCs w:val="0"/>
          <w:sz w:val="28"/>
          <w:szCs w:val="28"/>
        </w:rPr>
        <w:t>淘汰全国高校专业排名后</w:t>
      </w:r>
      <w:r>
        <w:rPr>
          <w:rFonts w:hint="eastAsia" w:eastAsia="仿宋"/>
          <w:bCs w:val="0"/>
          <w:sz w:val="28"/>
          <w:szCs w:val="28"/>
        </w:rPr>
        <w:t>50%</w:t>
      </w:r>
      <w:r>
        <w:rPr>
          <w:rFonts w:hint="eastAsia" w:hAnsi="仿宋" w:eastAsia="仿宋"/>
          <w:bCs w:val="0"/>
          <w:sz w:val="28"/>
          <w:szCs w:val="28"/>
        </w:rPr>
        <w:t>的专业，</w:t>
      </w:r>
      <w:r>
        <w:rPr>
          <w:rFonts w:hint="eastAsia"/>
          <w:lang w:val="en-US" w:eastAsia="zh-CN"/>
        </w:rPr>
        <w:t>20个专业通过国家工程专业认证</w:t>
      </w:r>
      <w:r>
        <w:rPr>
          <w:rFonts w:hint="eastAsia" w:hAnsi="仿宋" w:eastAsia="仿宋"/>
          <w:bCs w:val="0"/>
          <w:sz w:val="28"/>
          <w:szCs w:val="28"/>
        </w:rPr>
        <w:t>；</w:t>
      </w:r>
      <w:r>
        <w:rPr>
          <w:rFonts w:hint="eastAsia" w:ascii="仿宋" w:hAnsi="仿宋" w:eastAsia="仿宋" w:cs="黑体"/>
          <w:lang w:val="en-US" w:eastAsia="zh-CN"/>
        </w:rPr>
        <w:t>力争全部学生受到创新创业教育，大学生创业梦工厂10个，大学生创新创业团队500个，创新创业人数5000人</w:t>
      </w:r>
      <w:r>
        <w:rPr>
          <w:rFonts w:hint="eastAsia" w:ascii="仿宋" w:hAnsi="仿宋" w:eastAsia="仿宋" w:cs="黑体"/>
          <w:lang w:eastAsia="zh-CN"/>
        </w:rPr>
        <w:t>；</w:t>
      </w:r>
      <w:r>
        <w:rPr>
          <w:rFonts w:hint="eastAsia"/>
          <w:lang w:val="en-US" w:eastAsia="zh-CN"/>
        </w:rPr>
        <w:t>建设15门国家开放课程，</w:t>
      </w:r>
      <w:r>
        <w:rPr>
          <w:rFonts w:hint="eastAsia" w:hAnsi="仿宋" w:eastAsia="仿宋"/>
          <w:bCs w:val="0"/>
          <w:sz w:val="28"/>
          <w:szCs w:val="28"/>
        </w:rPr>
        <w:t>信息化课程建设达到</w:t>
      </w:r>
      <w:r>
        <w:rPr>
          <w:rFonts w:hint="eastAsia" w:eastAsia="仿宋"/>
          <w:bCs w:val="0"/>
          <w:sz w:val="28"/>
          <w:szCs w:val="28"/>
        </w:rPr>
        <w:t xml:space="preserve"> 1000</w:t>
      </w:r>
      <w:r>
        <w:rPr>
          <w:rFonts w:hint="eastAsia" w:hAnsi="仿宋" w:eastAsia="仿宋"/>
          <w:bCs w:val="0"/>
          <w:sz w:val="28"/>
          <w:szCs w:val="28"/>
        </w:rPr>
        <w:t>门</w:t>
      </w:r>
      <w:r>
        <w:rPr>
          <w:rFonts w:hint="eastAsia"/>
          <w:lang w:val="en-US" w:eastAsia="zh-CN"/>
        </w:rPr>
        <w:t>；建设特色专业建设团队50个，分类别的课程教学团队500个；培养3名省级教学名师和1~2名国家级教学名师，获得国家级教学成果奖2-4项，应届本科毕业生考研录取率达到30%。建设10个校内实验实训综合平台；培育大学生专利成果500项，大学生创业项目产值达到10亿元/年。</w:t>
      </w:r>
      <w:r>
        <w:rPr>
          <w:rFonts w:hint="eastAsia" w:hAnsi="仿宋" w:eastAsia="仿宋"/>
          <w:bCs w:val="0"/>
          <w:sz w:val="28"/>
          <w:szCs w:val="28"/>
        </w:rPr>
        <w:t>学生具有海外交流经历的比例达到</w:t>
      </w:r>
      <w:r>
        <w:rPr>
          <w:rFonts w:hint="eastAsia" w:eastAsia="仿宋"/>
          <w:bCs w:val="0"/>
          <w:sz w:val="28"/>
          <w:szCs w:val="28"/>
        </w:rPr>
        <w:t>10%~20%</w:t>
      </w:r>
      <w:r>
        <w:rPr>
          <w:rFonts w:hint="eastAsia" w:hAnsi="仿宋" w:eastAsia="仿宋"/>
          <w:bCs w:val="0"/>
          <w:sz w:val="28"/>
          <w:szCs w:val="28"/>
        </w:rPr>
        <w:t>。</w:t>
      </w:r>
    </w:p>
    <w:p>
      <w:pPr>
        <w:pStyle w:val="4"/>
      </w:pPr>
      <w:bookmarkStart w:id="43" w:name="_Toc10204"/>
      <w:bookmarkStart w:id="44" w:name="_Toc4904"/>
      <w:r>
        <w:rPr>
          <w:rFonts w:hint="eastAsia"/>
        </w:rPr>
        <w:t>（二）主要任务</w:t>
      </w:r>
      <w:bookmarkEnd w:id="43"/>
      <w:bookmarkEnd w:id="44"/>
    </w:p>
    <w:p>
      <w:pPr>
        <w:rPr>
          <w:rFonts w:hint="eastAsia"/>
        </w:rPr>
      </w:pPr>
      <w:bookmarkStart w:id="45" w:name="_Toc15630"/>
      <w:r>
        <w:rPr>
          <w:rFonts w:hint="eastAsia"/>
        </w:rPr>
        <w:t>结合新时期办学定位和国家社会行业对于人才培养的要求，以学生为中心，以目标为导向，以持续改进为工作重点，全面深化本科教育教学和试点学院改革，创新人才培养体制机制，</w:t>
      </w:r>
      <w:r>
        <w:rPr>
          <w:rFonts w:hint="eastAsia"/>
          <w:lang w:eastAsia="zh-CN"/>
        </w:rPr>
        <w:t>践行卓越教育理念，科学调整和布局学科专业结构，将创新创业教育融入到人才培养全过程，建设教学团队，健全教研组织，提升实践教学满意度，建设教学资源和教学条件，</w:t>
      </w:r>
      <w:r>
        <w:rPr>
          <w:rFonts w:hint="eastAsia"/>
        </w:rPr>
        <w:t>构建</w:t>
      </w:r>
      <w:r>
        <w:rPr>
          <w:rFonts w:hint="eastAsia"/>
          <w:lang w:eastAsia="zh-CN"/>
        </w:rPr>
        <w:t>以专业知识教学、创新创业能力训练、综合素质养成为核心的卓越人才培养体系。</w:t>
      </w:r>
    </w:p>
    <w:p>
      <w:pPr>
        <w:pStyle w:val="4"/>
      </w:pPr>
      <w:bookmarkStart w:id="46" w:name="_Toc25665"/>
      <w:r>
        <w:rPr>
          <w:rFonts w:hint="eastAsia"/>
        </w:rPr>
        <w:t>（三）建设思路</w:t>
      </w:r>
      <w:bookmarkEnd w:id="45"/>
      <w:bookmarkEnd w:id="46"/>
    </w:p>
    <w:p>
      <w:r>
        <w:rPr>
          <w:rFonts w:hint="eastAsia"/>
        </w:rPr>
        <w:t>在学校深入贯彻党的十八大和十八届二中、三中、四中全会精神、全面深化学校改革的统一部署下，尊重教育规律，践行“卓越教育”理念，以提高人才培养质量为中心，以增强服务贡献能力为目标，以强化学生创新创业能力培养和人才国际竞争力为重点，进一步深化管理制度和工作机制改革，</w:t>
      </w:r>
      <w:r>
        <w:rPr>
          <w:rFonts w:hint="eastAsia"/>
          <w:lang w:eastAsia="zh-CN"/>
        </w:rPr>
        <w:t>实施</w:t>
      </w:r>
      <w:r>
        <w:rPr>
          <w:rFonts w:hint="eastAsia"/>
          <w:b/>
          <w:bCs/>
          <w:lang w:eastAsia="zh-CN"/>
        </w:rPr>
        <w:t>创新创业教育工程、一流专业建设工程、优质教学资源建设工程、实践教学效果提升工程</w:t>
      </w:r>
      <w:r>
        <w:rPr>
          <w:rFonts w:hint="eastAsia"/>
          <w:b/>
          <w:bCs/>
          <w:lang w:val="en-US" w:eastAsia="zh-CN"/>
        </w:rPr>
        <w:t>、国际化人才培养工程</w:t>
      </w:r>
      <w:r>
        <w:rPr>
          <w:rFonts w:hint="eastAsia"/>
          <w:lang w:eastAsia="zh-CN"/>
        </w:rPr>
        <w:t>，</w:t>
      </w:r>
      <w:r>
        <w:rPr>
          <w:rFonts w:hint="eastAsia"/>
        </w:rPr>
        <w:t>整体规划与分类实施相结合，</w:t>
      </w:r>
      <w:r>
        <w:rPr>
          <w:rFonts w:hint="eastAsia"/>
          <w:lang w:eastAsia="zh-CN"/>
        </w:rPr>
        <w:t>完善卓越人才培养体系</w:t>
      </w:r>
      <w:r>
        <w:rPr>
          <w:rFonts w:hint="eastAsia"/>
        </w:rPr>
        <w:t>，使学校教学水平和人才培养质量达到国内一流水平。</w:t>
      </w:r>
    </w:p>
    <w:p>
      <w:pPr>
        <w:pStyle w:val="4"/>
        <w:ind w:firstLine="562"/>
      </w:pPr>
      <w:bookmarkStart w:id="47" w:name="_Toc14872"/>
      <w:bookmarkStart w:id="48" w:name="_Toc8213"/>
      <w:r>
        <w:rPr>
          <w:rFonts w:hint="eastAsia"/>
          <w:b/>
        </w:rPr>
        <w:t>（四）建设举措</w:t>
      </w:r>
      <w:bookmarkEnd w:id="47"/>
      <w:bookmarkEnd w:id="48"/>
    </w:p>
    <w:p>
      <w:pPr>
        <w:pStyle w:val="6"/>
        <w:numPr>
          <w:ilvl w:val="0"/>
          <w:numId w:val="2"/>
        </w:numPr>
        <w:tabs>
          <w:tab w:val="left" w:pos="840"/>
        </w:tabs>
        <w:ind w:left="425" w:leftChars="0" w:firstLine="135" w:firstLineChars="0"/>
        <w:rPr>
          <w:rFonts w:hint="eastAsia"/>
          <w:lang w:eastAsia="zh-CN"/>
        </w:rPr>
      </w:pPr>
      <w:bookmarkStart w:id="49" w:name="_Toc11632"/>
      <w:bookmarkStart w:id="50" w:name="_Toc14028"/>
      <w:r>
        <w:rPr>
          <w:rFonts w:hint="eastAsia"/>
          <w:lang w:eastAsia="zh-CN"/>
        </w:rPr>
        <w:t>实施创新创业教育工程</w:t>
      </w:r>
      <w:bookmarkEnd w:id="49"/>
    </w:p>
    <w:bookmarkEnd w:id="50"/>
    <w:p>
      <w:pPr>
        <w:pStyle w:val="7"/>
        <w:rPr>
          <w:rFonts w:hint="eastAsia" w:ascii="仿宋" w:hAnsi="仿宋" w:eastAsia="仿宋" w:cs="黑体"/>
          <w:b w:val="0"/>
          <w:bCs w:val="0"/>
          <w:kern w:val="2"/>
          <w:sz w:val="28"/>
          <w:szCs w:val="28"/>
          <w:lang w:val="en-US" w:eastAsia="zh-CN" w:bidi="ar-SA"/>
        </w:rPr>
      </w:pPr>
      <w:bookmarkStart w:id="51" w:name="_Toc6218"/>
      <w:r>
        <w:rPr>
          <w:rFonts w:hint="eastAsia"/>
          <w:b w:val="0"/>
          <w:bCs w:val="0"/>
          <w:lang w:val="en-US" w:eastAsia="zh-CN"/>
        </w:rPr>
        <w:t>将</w:t>
      </w:r>
      <w:r>
        <w:rPr>
          <w:rFonts w:hint="eastAsia" w:ascii="黑体" w:hAnsi="黑体" w:eastAsia="黑体" w:cs="黑体"/>
          <w:b w:val="0"/>
          <w:bCs w:val="0"/>
          <w:kern w:val="2"/>
          <w:sz w:val="28"/>
          <w:szCs w:val="28"/>
          <w:lang w:val="en-US" w:eastAsia="zh-CN" w:bidi="ar-SA"/>
        </w:rPr>
        <w:t>创新创业能力培养融入人才培养全过程。</w:t>
      </w:r>
      <w:bookmarkEnd w:id="51"/>
      <w:r>
        <w:rPr>
          <w:rFonts w:hint="eastAsia" w:ascii="仿宋" w:hAnsi="仿宋" w:eastAsia="仿宋" w:cs="黑体"/>
          <w:b w:val="0"/>
          <w:bCs w:val="0"/>
          <w:kern w:val="2"/>
          <w:sz w:val="28"/>
          <w:szCs w:val="28"/>
          <w:lang w:val="en-US" w:eastAsia="zh-CN" w:bidi="ar-SA"/>
        </w:rPr>
        <w:t>以区域经济发展和行业企业对于人才的需求为导向，建立创业就业导向的人才培养类型结构调整机制，将创新创业人才对于知识、能力和素质的要求细化和内化到人才培养过程中。修订本科专业基本要求，将创新精神、创业意识和创新创业能力作为评价人才培养质量的重要指标。引导和鼓励学院根据学科特色建立研究型人才、应用型人才、创业型人才分类培养目标与方案，制定创业教育教学基本要求，明晰创业型人才培养的教学目标、教学原则、教学内容、教学方法、教学组织、考核方式和管理制度。面向全体学生进行创新创业意识的培养和创业精神的塑造，对有创业潜力的学生进行系统培养提高其创业能力，着力扶持大学生进行自主创业。</w:t>
      </w:r>
    </w:p>
    <w:p>
      <w:pPr>
        <w:pStyle w:val="7"/>
        <w:rPr>
          <w:b w:val="0"/>
          <w:bCs w:val="0"/>
        </w:rPr>
      </w:pPr>
      <w:bookmarkStart w:id="52" w:name="_Toc24233"/>
      <w:r>
        <w:rPr>
          <w:rFonts w:hint="eastAsia"/>
          <w:b w:val="0"/>
          <w:bCs w:val="0"/>
          <w:lang w:eastAsia="zh-CN"/>
        </w:rPr>
        <w:t>健全创新创业课程体系，实现与专业教育融合。</w:t>
      </w:r>
      <w:bookmarkEnd w:id="52"/>
      <w:r>
        <w:rPr>
          <w:rFonts w:hint="eastAsia" w:ascii="仿宋" w:hAnsi="仿宋" w:eastAsia="仿宋" w:cs="黑体"/>
          <w:b w:val="0"/>
          <w:bCs w:val="0"/>
          <w:kern w:val="2"/>
          <w:sz w:val="28"/>
          <w:szCs w:val="28"/>
          <w:lang w:val="en-US" w:eastAsia="zh-CN" w:bidi="ar-SA"/>
        </w:rPr>
        <w:t>促进专业教育与创新创业教育的有机融合，挖掘充实各类专业课程的创新创业教育资源。面向全体学生开发开设研究方法、学科前沿、创业基础、就业创业知道等方面的必修课和选修课，纳入学分管理，建设与专业课程有机衔接的创新创业专门课程群。鼓励教师将科研资源和成果转化为探究性学习的课程资源；把设立本科生研究性、创新性实验实践教学课程（项目）作为考核学校各级重点实验室的重要指标之一。</w:t>
      </w:r>
    </w:p>
    <w:p>
      <w:pPr>
        <w:pStyle w:val="7"/>
        <w:rPr>
          <w:rFonts w:hint="eastAsia" w:ascii="仿宋" w:hAnsi="仿宋" w:eastAsia="仿宋" w:cs="黑体"/>
          <w:kern w:val="2"/>
          <w:sz w:val="28"/>
          <w:szCs w:val="28"/>
          <w:lang w:val="en-US" w:eastAsia="zh-CN" w:bidi="ar-SA"/>
        </w:rPr>
      </w:pPr>
      <w:bookmarkStart w:id="53" w:name="_Toc30649"/>
      <w:r>
        <w:rPr>
          <w:rFonts w:hint="eastAsia"/>
          <w:b w:val="0"/>
          <w:bCs w:val="0"/>
          <w:lang w:eastAsia="zh-CN"/>
        </w:rPr>
        <w:t>加强创业实训平台建设，为学生提供更多机会。</w:t>
      </w:r>
      <w:bookmarkEnd w:id="53"/>
      <w:r>
        <w:rPr>
          <w:rFonts w:hint="eastAsia" w:ascii="仿宋" w:hAnsi="仿宋" w:eastAsia="仿宋" w:cs="黑体"/>
          <w:b w:val="0"/>
          <w:bCs w:val="0"/>
          <w:kern w:val="2"/>
          <w:sz w:val="28"/>
          <w:szCs w:val="28"/>
          <w:lang w:val="en-US" w:eastAsia="zh-CN" w:bidi="ar-SA"/>
        </w:rPr>
        <w:t>建立各级科研基地创业实训平台，面向全校学生开放校</w:t>
      </w:r>
      <w:r>
        <w:rPr>
          <w:rFonts w:hint="eastAsia" w:ascii="仿宋" w:hAnsi="仿宋" w:eastAsia="仿宋" w:cs="黑体"/>
          <w:kern w:val="2"/>
          <w:sz w:val="28"/>
          <w:szCs w:val="28"/>
          <w:lang w:val="en-US" w:eastAsia="zh-CN" w:bidi="ar-SA"/>
        </w:rPr>
        <w:t>级、省级、国家级科研基地和各类实验室；引导学院建立具有学科特色的“创客空间”，组建科技创新团队，发现和培育“创业新苗”，为学校创业园输送创业团队。建立“创业实训实验室”，面向全校有创业兴趣的学生开放，通过虚拟经营企业，帮助学生熟悉创业流程。</w:t>
      </w:r>
    </w:p>
    <w:p>
      <w:pPr>
        <w:pStyle w:val="7"/>
        <w:rPr>
          <w:rFonts w:hint="eastAsia" w:ascii="仿宋" w:hAnsi="仿宋" w:eastAsia="仿宋" w:cs="黑体"/>
          <w:b w:val="0"/>
          <w:bCs w:val="0"/>
          <w:kern w:val="2"/>
          <w:sz w:val="28"/>
          <w:szCs w:val="28"/>
          <w:lang w:val="en-US" w:eastAsia="zh-CN" w:bidi="ar-SA"/>
        </w:rPr>
      </w:pPr>
      <w:bookmarkStart w:id="54" w:name="_Toc9521"/>
      <w:r>
        <w:rPr>
          <w:rFonts w:hint="eastAsia"/>
          <w:b w:val="0"/>
          <w:bCs w:val="0"/>
          <w:lang w:eastAsia="zh-CN"/>
        </w:rPr>
        <w:t>成立创业学院，加强创业教育专业化指导。</w:t>
      </w:r>
      <w:bookmarkEnd w:id="54"/>
      <w:r>
        <w:rPr>
          <w:rFonts w:hint="eastAsia" w:ascii="仿宋" w:hAnsi="仿宋" w:eastAsia="仿宋" w:cs="黑体"/>
          <w:b w:val="0"/>
          <w:bCs w:val="0"/>
          <w:kern w:val="2"/>
          <w:sz w:val="28"/>
          <w:szCs w:val="28"/>
          <w:lang w:val="en-US" w:eastAsia="zh-CN" w:bidi="ar-SA"/>
        </w:rPr>
        <w:t>成立由学院负责教学的副院长、校内创业教育相关课程教授、校外创业成功人士等组成的创业教育教学指导委员会，制定创业教育人才培养标准、培养方案和课程设置要求。成立创业学院，制定具体措施，教务处、研究生院、科发院和各学院协同推进创业型人才培养；建立创业师资骨干队伍和创业导师队伍，开展创业教育实验班教学。协同产业集团、武汉理工孵化器有限公司开展全国创业孵化示范基地建设，吸引社会企业、社会资本经营和投资大学生创业，逐步实现大学生创业产业化；开展创业教育理论研究，总结提炼创业教育经验，形成一批优秀创业教育理论成果。</w:t>
      </w:r>
    </w:p>
    <w:p>
      <w:pPr>
        <w:pStyle w:val="7"/>
        <w:rPr>
          <w:rFonts w:hint="eastAsia" w:ascii="仿宋" w:hAnsi="仿宋" w:eastAsia="仿宋" w:cs="黑体"/>
          <w:kern w:val="2"/>
          <w:sz w:val="28"/>
          <w:szCs w:val="28"/>
          <w:lang w:val="en-US" w:eastAsia="zh-CN" w:bidi="ar-SA"/>
        </w:rPr>
      </w:pPr>
      <w:r>
        <w:rPr>
          <w:rFonts w:hint="eastAsia"/>
          <w:b w:val="0"/>
          <w:bCs w:val="0"/>
          <w:lang w:eastAsia="zh-CN"/>
        </w:rPr>
        <w:t>改革教学制度，保障创新创业教育实施。</w:t>
      </w:r>
      <w:r>
        <w:rPr>
          <w:rFonts w:hint="eastAsia" w:ascii="仿宋" w:hAnsi="仿宋" w:eastAsia="仿宋" w:cs="黑体"/>
          <w:b w:val="0"/>
          <w:bCs w:val="0"/>
          <w:kern w:val="2"/>
          <w:sz w:val="28"/>
          <w:szCs w:val="28"/>
          <w:lang w:val="en-US" w:eastAsia="zh-CN" w:bidi="ar-SA"/>
        </w:rPr>
        <w:t>改革教学和学籍管理制度，设置合理的创新创业学分，建立创新创业学分积累与转换制度，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保留学籍休学创新创业。设立创新创业奖学金，并在现有相关评优评先项目中拿出一定</w:t>
      </w:r>
      <w:r>
        <w:rPr>
          <w:rFonts w:hint="eastAsia" w:ascii="仿宋" w:hAnsi="仿宋" w:eastAsia="仿宋" w:cs="黑体"/>
          <w:kern w:val="2"/>
          <w:sz w:val="28"/>
          <w:szCs w:val="28"/>
          <w:lang w:val="en-US" w:eastAsia="zh-CN" w:bidi="ar-SA"/>
        </w:rPr>
        <w:t>比例用于表彰优秀创新创业的学生。</w:t>
      </w:r>
    </w:p>
    <w:p>
      <w:pPr>
        <w:rPr>
          <w:rFonts w:hint="eastAsia" w:ascii="楷体" w:hAnsi="楷体" w:eastAsia="楷体" w:cs="楷体"/>
        </w:rPr>
      </w:pPr>
      <w:r>
        <w:rPr>
          <w:rFonts w:hint="eastAsia"/>
        </w:rPr>
        <w:t>时间进度：</w:t>
      </w:r>
      <w:r>
        <w:rPr>
          <w:rFonts w:hint="eastAsia" w:ascii="楷体" w:hAnsi="楷体" w:eastAsia="楷体" w:cs="楷体"/>
          <w:lang w:eastAsia="zh-CN"/>
        </w:rPr>
        <w:t>到</w:t>
      </w:r>
      <w:r>
        <w:rPr>
          <w:rFonts w:hint="eastAsia" w:ascii="楷体" w:hAnsi="楷体" w:eastAsia="楷体" w:cs="楷体"/>
          <w:lang w:val="en-US" w:eastAsia="zh-CN"/>
        </w:rPr>
        <w:t>2020年，力争全部学生受到创新创业教育，大学生创业梦工厂10个，大学生创新创业团队500个，创新创业人数5000人；</w:t>
      </w:r>
      <w:bookmarkStart w:id="55" w:name="OLE_LINK3"/>
      <w:r>
        <w:rPr>
          <w:rFonts w:hint="eastAsia" w:ascii="楷体" w:hAnsi="楷体" w:eastAsia="楷体" w:cs="楷体"/>
          <w:lang w:val="en-US" w:eastAsia="zh-CN"/>
        </w:rPr>
        <w:t>本科生获省部级以上创新创业竞赛奖励或国家发明专利2000项</w:t>
      </w:r>
      <w:bookmarkEnd w:id="55"/>
      <w:r>
        <w:rPr>
          <w:rFonts w:hint="eastAsia" w:ascii="楷体" w:hAnsi="楷体" w:eastAsia="楷体" w:cs="楷体"/>
        </w:rPr>
        <w:t>。</w:t>
      </w:r>
    </w:p>
    <w:p>
      <w:r>
        <w:rPr>
          <w:rFonts w:hint="eastAsia"/>
        </w:rPr>
        <w:t>牵头单位：教务处、研究生院</w:t>
      </w:r>
      <w:r>
        <w:rPr>
          <w:rFonts w:hint="eastAsia"/>
          <w:lang w:eastAsia="zh-CN"/>
        </w:rPr>
        <w:t>、</w:t>
      </w:r>
      <w:r>
        <w:rPr>
          <w:rFonts w:hint="eastAsia"/>
        </w:rPr>
        <w:t>学工部、校团委、就业指导中心</w:t>
      </w:r>
    </w:p>
    <w:p>
      <w:pPr>
        <w:rPr>
          <w:rFonts w:hint="eastAsia"/>
        </w:rPr>
      </w:pPr>
      <w:r>
        <w:rPr>
          <w:rFonts w:hint="eastAsia"/>
        </w:rPr>
        <w:t>配合单位：相关学院</w:t>
      </w:r>
    </w:p>
    <w:p>
      <w:pPr>
        <w:pStyle w:val="6"/>
        <w:numPr>
          <w:ilvl w:val="0"/>
          <w:numId w:val="2"/>
        </w:numPr>
        <w:tabs>
          <w:tab w:val="left" w:pos="840"/>
        </w:tabs>
        <w:ind w:left="425" w:leftChars="0" w:firstLine="135" w:firstLineChars="0"/>
        <w:rPr>
          <w:rFonts w:hint="eastAsia"/>
          <w:lang w:eastAsia="zh-CN"/>
        </w:rPr>
      </w:pPr>
      <w:bookmarkStart w:id="56" w:name="_Toc5362"/>
      <w:bookmarkStart w:id="57" w:name="_Toc15172"/>
      <w:r>
        <w:rPr>
          <w:rFonts w:hint="eastAsia"/>
          <w:lang w:eastAsia="zh-CN"/>
        </w:rPr>
        <w:t>实施一流专业建设工程</w:t>
      </w:r>
      <w:bookmarkEnd w:id="56"/>
      <w:bookmarkEnd w:id="57"/>
    </w:p>
    <w:p>
      <w:pPr>
        <w:rPr>
          <w:rFonts w:hint="eastAsia"/>
        </w:rPr>
      </w:pPr>
      <w:bookmarkStart w:id="58" w:name="_Toc17485"/>
      <w:r>
        <w:rPr>
          <w:rFonts w:hint="eastAsia"/>
          <w:lang w:eastAsia="zh-CN"/>
        </w:rPr>
        <w:t>面向区域经济发展和行业对于人才的需求，优化学科专业结构，制定专业人才培养标准，优化课程体系，建设教学团队，加强实践教学环境的监控，积极开展专业评估和专业认证，</w:t>
      </w:r>
      <w:r>
        <w:rPr>
          <w:rFonts w:hint="eastAsia"/>
        </w:rPr>
        <w:t>通过5年乃至更长时间的建设与发展，</w:t>
      </w:r>
      <w:r>
        <w:rPr>
          <w:rFonts w:hint="eastAsia"/>
          <w:lang w:eastAsia="zh-CN"/>
        </w:rPr>
        <w:t>建成口径宽、基础厚、特色鲜明、实力较强的专业群，</w:t>
      </w:r>
      <w:r>
        <w:rPr>
          <w:rFonts w:hint="eastAsia"/>
        </w:rPr>
        <w:t>培养出高素质创新人才。</w:t>
      </w:r>
    </w:p>
    <w:p>
      <w:pPr>
        <w:pStyle w:val="7"/>
        <w:rPr>
          <w:rFonts w:hint="eastAsia" w:ascii="仿宋" w:hAnsi="仿宋" w:eastAsia="仿宋" w:cs="黑体"/>
          <w:kern w:val="2"/>
          <w:sz w:val="28"/>
          <w:szCs w:val="28"/>
          <w:lang w:val="en-US" w:eastAsia="zh-CN" w:bidi="ar-SA"/>
        </w:rPr>
      </w:pPr>
      <w:r>
        <w:rPr>
          <w:rFonts w:hint="eastAsia"/>
          <w:b w:val="0"/>
          <w:bCs w:val="0"/>
          <w:lang w:eastAsia="zh-CN"/>
        </w:rPr>
        <w:t>优化学科专业结构，重点建设优势特色专业。</w:t>
      </w:r>
      <w:bookmarkEnd w:id="58"/>
      <w:r>
        <w:rPr>
          <w:rFonts w:hint="eastAsia" w:ascii="仿宋" w:hAnsi="仿宋" w:eastAsia="仿宋" w:cs="黑体"/>
          <w:kern w:val="2"/>
          <w:sz w:val="28"/>
          <w:szCs w:val="28"/>
          <w:lang w:val="en-US" w:eastAsia="zh-CN" w:bidi="ar-SA"/>
        </w:rPr>
        <w:t>适应学校的发展和行业社会对人才的需求，建立需求导向的学科专业结构调整新机制。实施高校毕业生就业和重点产业人才供需年度报告制度，制定学科专业预警、退出管理办法。按照学科门类和专业大类，面向社会和行业需求，突出学校特色与优势学科，进行学科专业结构调整，着重培育和发展绿色建材、装备制造、水陆交通、物联网等新兴、交叉学科专业。对照专业的国内排名，重点建设特色专业，形成学校的优势专业群，体现办学特色，提高社会声誉，培养创新人才。</w:t>
      </w:r>
    </w:p>
    <w:p>
      <w:pPr>
        <w:pStyle w:val="7"/>
        <w:rPr>
          <w:rFonts w:hint="eastAsia" w:ascii="仿宋" w:hAnsi="仿宋" w:eastAsia="仿宋" w:cs="黑体"/>
          <w:kern w:val="2"/>
          <w:sz w:val="28"/>
          <w:szCs w:val="28"/>
          <w:lang w:val="en-US" w:eastAsia="zh-CN" w:bidi="ar-SA"/>
        </w:rPr>
      </w:pPr>
      <w:bookmarkStart w:id="59" w:name="_Toc4955"/>
      <w:r>
        <w:rPr>
          <w:rFonts w:hint="eastAsia"/>
          <w:b w:val="0"/>
          <w:bCs w:val="0"/>
          <w:lang w:eastAsia="zh-CN"/>
        </w:rPr>
        <w:t>制定专业人才标准，探索人才培养模式创新。</w:t>
      </w:r>
      <w:bookmarkEnd w:id="59"/>
      <w:r>
        <w:rPr>
          <w:rFonts w:hint="eastAsia" w:ascii="仿宋" w:hAnsi="仿宋" w:eastAsia="仿宋" w:cs="黑体"/>
          <w:kern w:val="2"/>
          <w:sz w:val="28"/>
          <w:szCs w:val="28"/>
          <w:lang w:val="en-US" w:eastAsia="zh-CN" w:bidi="ar-SA"/>
        </w:rPr>
        <w:t>根据依托学科和行业发展趋势，瞄准专业发展前沿和对人才的需求，确定专业人才培养标准。继续深化推进科教协同、校企协同、国际协同的人才培养模式改革，推进导师制、小班化教学、国际化合作、个性化培养。配合学科专业调整，实现课程归口，形成“专业教育+通识教育”的专业人才培养模式，培养学生的综合素质，促进人才培养由学科专业单一型向多学科融合型的转变。</w:t>
      </w:r>
    </w:p>
    <w:p>
      <w:pPr>
        <w:pStyle w:val="7"/>
        <w:rPr>
          <w:rFonts w:hint="eastAsia" w:ascii="仿宋" w:hAnsi="仿宋" w:eastAsia="仿宋" w:cs="黑体"/>
          <w:kern w:val="2"/>
          <w:sz w:val="28"/>
          <w:szCs w:val="28"/>
          <w:lang w:val="en-US" w:eastAsia="zh-CN" w:bidi="ar-SA"/>
        </w:rPr>
      </w:pPr>
      <w:bookmarkStart w:id="60" w:name="_Toc17380"/>
      <w:r>
        <w:rPr>
          <w:rFonts w:hint="eastAsia"/>
          <w:b w:val="0"/>
          <w:bCs w:val="0"/>
          <w:lang w:eastAsia="zh-CN"/>
        </w:rPr>
        <w:t>开展教学团队建设，引领一流学科专业发展。</w:t>
      </w:r>
      <w:bookmarkEnd w:id="60"/>
      <w:r>
        <w:rPr>
          <w:rFonts w:hint="eastAsia" w:ascii="仿宋" w:hAnsi="仿宋" w:eastAsia="仿宋" w:cs="黑体"/>
          <w:kern w:val="2"/>
          <w:sz w:val="28"/>
          <w:szCs w:val="28"/>
          <w:lang w:val="en-US" w:eastAsia="zh-CN" w:bidi="ar-SA"/>
        </w:rPr>
        <w:t>开展分类型、分层次、多样化的高水平教学团队建设。继续实施特色专业责任教授评聘制度。在“十二五”评聘工作的基础上，进一步明确岗位职责、团队建设和专业建设任务。围绕学科专业调整，建设学科融合教学团队，鼓励跨学科开展专业融合建设；围绕专业综合改革，组建专业建设团队，依据专业人才培养标准和国际一流大学的培养模式，改革专业课程体系，建设特色专业；围绕公共基础课和专业课程群，建设不同类型的课程教学团队，开展公共课教学改革和专业课程群建设。</w:t>
      </w:r>
    </w:p>
    <w:p>
      <w:pPr>
        <w:pStyle w:val="7"/>
        <w:rPr>
          <w:rFonts w:hint="eastAsia" w:ascii="仿宋" w:hAnsi="仿宋" w:eastAsia="仿宋" w:cs="黑体"/>
          <w:kern w:val="2"/>
          <w:sz w:val="28"/>
          <w:szCs w:val="28"/>
          <w:lang w:val="en-US" w:eastAsia="zh-CN" w:bidi="ar-SA"/>
        </w:rPr>
      </w:pPr>
      <w:bookmarkStart w:id="61" w:name="_Toc1180"/>
      <w:r>
        <w:rPr>
          <w:rFonts w:hint="eastAsia"/>
          <w:b w:val="0"/>
          <w:bCs w:val="0"/>
          <w:lang w:eastAsia="zh-CN"/>
        </w:rPr>
        <w:t>优化专业课程体系，形成特色专业培养方案。</w:t>
      </w:r>
      <w:bookmarkEnd w:id="61"/>
      <w:r>
        <w:rPr>
          <w:rFonts w:hint="eastAsia" w:ascii="仿宋" w:hAnsi="仿宋" w:eastAsia="仿宋" w:cs="黑体"/>
          <w:kern w:val="2"/>
          <w:sz w:val="28"/>
          <w:szCs w:val="28"/>
          <w:lang w:val="en-US" w:eastAsia="zh-CN" w:bidi="ar-SA"/>
        </w:rPr>
        <w:t>按照牢固专业基础、拓宽专业面向、强化实践环节、培养创新能力的原则，对照专业人才标准和毕业要求，优化专业课程体系。优化课程设置，明确教学大纲、教学内容与教学要求，科学设置理论教学、实验教学和实践教学环节，优化课程知识单元和课程知识体系，制定各教学环节的质量标准和考核规范，实现课程教学目标。</w:t>
      </w:r>
    </w:p>
    <w:p>
      <w:pPr>
        <w:pStyle w:val="7"/>
        <w:rPr>
          <w:rFonts w:hint="eastAsia" w:ascii="仿宋" w:hAnsi="仿宋" w:eastAsia="仿宋" w:cs="黑体"/>
          <w:kern w:val="2"/>
          <w:sz w:val="28"/>
          <w:szCs w:val="28"/>
          <w:lang w:val="en-US" w:eastAsia="zh-CN" w:bidi="ar-SA"/>
        </w:rPr>
      </w:pPr>
      <w:bookmarkStart w:id="62" w:name="_Toc2346"/>
      <w:r>
        <w:rPr>
          <w:rFonts w:hint="eastAsia"/>
          <w:b w:val="0"/>
          <w:bCs w:val="0"/>
          <w:lang w:eastAsia="zh-CN"/>
        </w:rPr>
        <w:t>积极开展专业认证，主动适应学生职业发展。</w:t>
      </w:r>
      <w:bookmarkEnd w:id="62"/>
      <w:r>
        <w:rPr>
          <w:rFonts w:hint="eastAsia" w:ascii="仿宋" w:hAnsi="仿宋" w:eastAsia="仿宋" w:cs="黑体"/>
          <w:kern w:val="2"/>
          <w:sz w:val="28"/>
          <w:szCs w:val="28"/>
          <w:lang w:val="en-US" w:eastAsia="zh-CN" w:bidi="ar-SA"/>
        </w:rPr>
        <w:t>按照国家专业建设标准和工程专业认证标准，全面完善专业人才培养方案，突显专业优势特色和建设内涵，明确专业培养目标和毕业要求，强化各培养环节教学质量。组织属于国家工程教育专业认证领域的相关专业，以及“卓越计划”试点专业积极参与专业认证，提升专业的社会知名度，支持有条件的专业积极参与专业国际评估和认证，为毕业生的职业发展和国际交流提供便利，着力培养和造就大批具有国际竞争力的高素质专门人才。</w:t>
      </w:r>
    </w:p>
    <w:p>
      <w:pPr>
        <w:rPr>
          <w:rFonts w:hint="eastAsia" w:ascii="楷体" w:hAnsi="楷体" w:eastAsia="楷体" w:cs="楷体"/>
        </w:rPr>
      </w:pPr>
      <w:r>
        <w:rPr>
          <w:rFonts w:hint="eastAsia"/>
        </w:rPr>
        <w:t>时间进度：</w:t>
      </w:r>
      <w:r>
        <w:rPr>
          <w:rFonts w:hint="eastAsia" w:ascii="楷体" w:hAnsi="楷体" w:eastAsia="楷体" w:cs="楷体"/>
          <w:lang w:val="en-US" w:eastAsia="zh-CN"/>
        </w:rPr>
        <w:t>2020年，</w:t>
      </w:r>
      <w:r>
        <w:rPr>
          <w:rFonts w:hint="eastAsia" w:ascii="楷体" w:hAnsi="楷体" w:eastAsia="楷体" w:cs="楷体"/>
        </w:rPr>
        <w:t>力争特色专业进入全国专业排名</w:t>
      </w:r>
      <w:r>
        <w:rPr>
          <w:rFonts w:hint="eastAsia" w:ascii="楷体" w:hAnsi="楷体" w:eastAsia="楷体" w:cs="楷体"/>
          <w:lang w:eastAsia="zh-CN"/>
        </w:rPr>
        <w:t>前</w:t>
      </w:r>
      <w:r>
        <w:rPr>
          <w:rFonts w:hint="eastAsia" w:ascii="楷体" w:hAnsi="楷体" w:eastAsia="楷体" w:cs="楷体"/>
          <w:lang w:val="en-US" w:eastAsia="zh-CN"/>
        </w:rPr>
        <w:t>10</w:t>
      </w:r>
      <w:bookmarkStart w:id="63" w:name="OLE_LINK2"/>
      <w:r>
        <w:rPr>
          <w:rFonts w:hint="eastAsia" w:ascii="楷体" w:hAnsi="楷体" w:eastAsia="楷体" w:cs="楷体"/>
          <w:lang w:eastAsia="zh-CN"/>
        </w:rPr>
        <w:t>，</w:t>
      </w:r>
      <w:r>
        <w:rPr>
          <w:rFonts w:hint="eastAsia" w:ascii="楷体" w:hAnsi="楷体" w:eastAsia="楷体" w:cs="楷体"/>
          <w:bCs w:val="0"/>
          <w:sz w:val="28"/>
          <w:szCs w:val="28"/>
        </w:rPr>
        <w:t>淘汰全国高校专业排名后50%的专业</w:t>
      </w:r>
      <w:bookmarkEnd w:id="63"/>
      <w:r>
        <w:rPr>
          <w:rFonts w:hint="eastAsia" w:ascii="楷体" w:hAnsi="楷体" w:eastAsia="楷体" w:cs="楷体"/>
        </w:rPr>
        <w:t>，20个专业通过国家工程专业认证</w:t>
      </w:r>
      <w:r>
        <w:rPr>
          <w:rFonts w:hint="eastAsia" w:ascii="楷体" w:hAnsi="楷体" w:eastAsia="楷体" w:cs="楷体"/>
          <w:lang w:val="en-US" w:eastAsia="zh-CN"/>
        </w:rPr>
        <w:t>;</w:t>
      </w:r>
      <w:r>
        <w:rPr>
          <w:rFonts w:hint="eastAsia" w:ascii="楷体" w:hAnsi="楷体" w:eastAsia="楷体" w:cs="楷体"/>
        </w:rPr>
        <w:t>建设特色专业建设团队50个，分类别的课程教学团队</w:t>
      </w:r>
      <w:r>
        <w:rPr>
          <w:rFonts w:hint="eastAsia" w:ascii="楷体" w:hAnsi="楷体" w:eastAsia="楷体" w:cs="楷体"/>
          <w:lang w:val="en-US" w:eastAsia="zh-CN"/>
        </w:rPr>
        <w:t>2</w:t>
      </w:r>
      <w:r>
        <w:rPr>
          <w:rFonts w:hint="eastAsia" w:ascii="楷体" w:hAnsi="楷体" w:eastAsia="楷体" w:cs="楷体"/>
        </w:rPr>
        <w:t>00个；至2020年，培养3名省级教学名师和1~2名国家级教学名师，博士生导师达到600名，硕士生导师达到2000名。通过努力，使我校在校学生跨学科辅修第二专业人数达</w:t>
      </w:r>
      <w:r>
        <w:rPr>
          <w:rFonts w:hint="eastAsia" w:ascii="楷体" w:hAnsi="楷体" w:eastAsia="楷体" w:cs="楷体"/>
          <w:lang w:val="en-US" w:eastAsia="zh-CN"/>
        </w:rPr>
        <w:t>10</w:t>
      </w:r>
      <w:r>
        <w:rPr>
          <w:rFonts w:hint="eastAsia" w:ascii="楷体" w:hAnsi="楷体" w:eastAsia="楷体" w:cs="楷体"/>
        </w:rPr>
        <w:t>% 以上，应届本科毕业生考研录取率达到</w:t>
      </w:r>
      <w:r>
        <w:rPr>
          <w:rFonts w:hint="eastAsia" w:ascii="楷体" w:hAnsi="楷体" w:eastAsia="楷体" w:cs="楷体"/>
          <w:lang w:val="en-US" w:eastAsia="zh-CN"/>
        </w:rPr>
        <w:t>30</w:t>
      </w:r>
      <w:r>
        <w:rPr>
          <w:rFonts w:hint="eastAsia" w:ascii="楷体" w:hAnsi="楷体" w:eastAsia="楷体" w:cs="楷体"/>
        </w:rPr>
        <w:t>%。2015至2020年，完成省级以上教研立项</w:t>
      </w:r>
      <w:r>
        <w:rPr>
          <w:rFonts w:hint="eastAsia" w:ascii="楷体" w:hAnsi="楷体" w:eastAsia="楷体" w:cs="楷体"/>
          <w:lang w:val="en-US" w:eastAsia="zh-CN"/>
        </w:rPr>
        <w:t>12</w:t>
      </w:r>
      <w:r>
        <w:rPr>
          <w:rFonts w:hint="eastAsia" w:ascii="楷体" w:hAnsi="楷体" w:eastAsia="楷体" w:cs="楷体"/>
        </w:rPr>
        <w:t>0项，每年完成校级教研立项80项。2017年，获得国家级教学成果奖2</w:t>
      </w:r>
      <w:r>
        <w:rPr>
          <w:rFonts w:hint="eastAsia" w:ascii="楷体" w:hAnsi="楷体" w:eastAsia="楷体" w:cs="楷体"/>
          <w:lang w:val="en-US" w:eastAsia="zh-CN"/>
        </w:rPr>
        <w:t>-4</w:t>
      </w:r>
      <w:r>
        <w:rPr>
          <w:rFonts w:hint="eastAsia" w:ascii="楷体" w:hAnsi="楷体" w:eastAsia="楷体" w:cs="楷体"/>
        </w:rPr>
        <w:t>项，省级教学成果奖2</w:t>
      </w:r>
      <w:r>
        <w:rPr>
          <w:rFonts w:hint="eastAsia" w:ascii="楷体" w:hAnsi="楷体" w:eastAsia="楷体" w:cs="楷体"/>
          <w:lang w:val="en-US" w:eastAsia="zh-CN"/>
        </w:rPr>
        <w:t>0</w:t>
      </w:r>
      <w:r>
        <w:rPr>
          <w:rFonts w:hint="eastAsia" w:ascii="楷体" w:hAnsi="楷体" w:eastAsia="楷体" w:cs="楷体"/>
        </w:rPr>
        <w:t>项</w:t>
      </w:r>
      <w:r>
        <w:rPr>
          <w:rFonts w:hint="eastAsia" w:ascii="楷体" w:hAnsi="楷体" w:eastAsia="楷体" w:cs="楷体"/>
          <w:lang w:eastAsia="zh-CN"/>
        </w:rPr>
        <w:t>。</w:t>
      </w:r>
    </w:p>
    <w:p>
      <w:r>
        <w:rPr>
          <w:rFonts w:hint="eastAsia"/>
        </w:rPr>
        <w:t>牵头单位：教务处</w:t>
      </w:r>
      <w:r>
        <w:t xml:space="preserve">    </w:t>
      </w:r>
    </w:p>
    <w:p>
      <w:pPr>
        <w:rPr>
          <w:rFonts w:hint="eastAsia"/>
        </w:rPr>
      </w:pPr>
      <w:r>
        <w:rPr>
          <w:rFonts w:hint="eastAsia"/>
        </w:rPr>
        <w:t>配合单位：相关学院</w:t>
      </w:r>
    </w:p>
    <w:p>
      <w:pPr>
        <w:pStyle w:val="6"/>
        <w:numPr>
          <w:ilvl w:val="0"/>
          <w:numId w:val="2"/>
        </w:numPr>
        <w:tabs>
          <w:tab w:val="left" w:pos="840"/>
        </w:tabs>
        <w:ind w:left="425" w:leftChars="0" w:firstLine="135" w:firstLineChars="0"/>
        <w:rPr>
          <w:rFonts w:hint="eastAsia"/>
          <w:lang w:val="en-US" w:eastAsia="zh-CN"/>
        </w:rPr>
      </w:pPr>
      <w:bookmarkStart w:id="64" w:name="_Toc11858"/>
      <w:bookmarkStart w:id="65" w:name="_Toc26234"/>
      <w:r>
        <w:rPr>
          <w:rFonts w:hint="eastAsia"/>
          <w:lang w:val="en-US" w:eastAsia="zh-CN"/>
        </w:rPr>
        <w:t>优质教学资源建设工程</w:t>
      </w:r>
      <w:bookmarkEnd w:id="64"/>
      <w:bookmarkEnd w:id="65"/>
    </w:p>
    <w:p>
      <w:pPr>
        <w:pStyle w:val="7"/>
        <w:rPr>
          <w:rFonts w:hint="eastAsia" w:ascii="仿宋" w:hAnsi="仿宋" w:eastAsia="仿宋" w:cs="黑体"/>
          <w:kern w:val="2"/>
          <w:sz w:val="28"/>
          <w:szCs w:val="28"/>
          <w:lang w:val="en-US" w:eastAsia="zh-CN" w:bidi="ar-SA"/>
        </w:rPr>
      </w:pPr>
      <w:bookmarkStart w:id="66" w:name="_Toc20886"/>
      <w:r>
        <w:rPr>
          <w:rFonts w:hint="eastAsia"/>
          <w:lang w:eastAsia="zh-CN"/>
        </w:rPr>
        <w:t>继续实施名师制度，推进精品课程建设。</w:t>
      </w:r>
      <w:bookmarkEnd w:id="66"/>
      <w:r>
        <w:rPr>
          <w:rFonts w:hint="eastAsia" w:ascii="仿宋" w:hAnsi="仿宋" w:eastAsia="仿宋" w:cs="黑体"/>
          <w:kern w:val="2"/>
          <w:sz w:val="28"/>
          <w:szCs w:val="28"/>
          <w:lang w:val="en-US" w:eastAsia="zh-CN" w:bidi="ar-SA"/>
        </w:rPr>
        <w:t>继续实施“精品课程教学名师”制度，结合课程教学团队，建设精品课程。新增国家精品开放课程5门，按照国家精品课程标准建设100门精品课程。力争再建成省级精品课程10门、校级精品课程100门。依托教学团队制度和精品课程教学名师制度，推动专业大类课程群和平台课程的建设和发展。继续深化公共政治理论课、大学体育、大学英语、计算机文化基础、文化素质等公共基础课的教学改革。</w:t>
      </w:r>
    </w:p>
    <w:p>
      <w:pPr>
        <w:pStyle w:val="7"/>
        <w:rPr>
          <w:rFonts w:hint="eastAsia" w:ascii="仿宋" w:hAnsi="仿宋" w:eastAsia="仿宋" w:cs="黑体"/>
          <w:kern w:val="2"/>
          <w:sz w:val="28"/>
          <w:szCs w:val="28"/>
          <w:lang w:val="en-US" w:eastAsia="zh-CN" w:bidi="ar-SA"/>
        </w:rPr>
      </w:pPr>
      <w:bookmarkStart w:id="67" w:name="_Toc28164"/>
      <w:r>
        <w:rPr>
          <w:rFonts w:hint="eastAsia"/>
          <w:lang w:eastAsia="zh-CN"/>
        </w:rPr>
        <w:t>开展课程内涵建设，改革教学内容方法。</w:t>
      </w:r>
      <w:bookmarkEnd w:id="67"/>
      <w:r>
        <w:rPr>
          <w:rFonts w:hint="eastAsia" w:ascii="仿宋" w:hAnsi="仿宋" w:eastAsia="仿宋" w:cs="黑体"/>
          <w:kern w:val="2"/>
          <w:sz w:val="28"/>
          <w:szCs w:val="28"/>
          <w:lang w:val="en-US" w:eastAsia="zh-CN" w:bidi="ar-SA"/>
        </w:rPr>
        <w:t>对现有的各级精品课程进行内涵建设，使精品课程体现先进的教学理念、教学内容、教学方法手段，积极完善课程教学的各个环节，重视提高教师课堂讲授水平，丰富教学辅助手段，注重思学结合，倡导启发式、探究式、讨论式、参与式教学，推动基于问题的学习、基于项目的学习、基于案例的学习等研究性学习方法，扩大小班化教学覆盖面，培养学生的批判性和创造性思维。提高学生的创新能力和实践能力，改革课程考核内容和方式，探索非标准答案考试。</w:t>
      </w:r>
    </w:p>
    <w:p>
      <w:pPr>
        <w:pStyle w:val="7"/>
        <w:rPr>
          <w:rFonts w:hint="eastAsia" w:ascii="仿宋" w:hAnsi="仿宋" w:eastAsia="仿宋" w:cs="黑体"/>
          <w:kern w:val="2"/>
          <w:sz w:val="28"/>
          <w:szCs w:val="28"/>
          <w:lang w:val="en-US" w:eastAsia="zh-CN" w:bidi="ar-SA"/>
        </w:rPr>
      </w:pPr>
      <w:bookmarkStart w:id="68" w:name="_Toc2748"/>
      <w:r>
        <w:rPr>
          <w:rFonts w:hint="eastAsia"/>
          <w:lang w:eastAsia="zh-CN"/>
        </w:rPr>
        <w:t>建设在线开放课程，提供丰富教学资源。</w:t>
      </w:r>
      <w:bookmarkEnd w:id="68"/>
      <w:r>
        <w:rPr>
          <w:rFonts w:hint="eastAsia" w:ascii="仿宋" w:hAnsi="仿宋" w:eastAsia="仿宋" w:cs="黑体"/>
          <w:kern w:val="2"/>
          <w:sz w:val="28"/>
          <w:szCs w:val="28"/>
          <w:lang w:val="en-US" w:eastAsia="zh-CN" w:bidi="ar-SA"/>
        </w:rPr>
        <w:t>大力发展在线开放课程建设，丰富网络教学资源，实现线上线下教学互动，为学生自主学习创造条件。利用在线开放课程平台，规范引进海内外优质课程资源，积极推广凸显本校特色、反映学科发展的优质课程。加强在线开放课程建设应用的师资和技术人员培训，推进在线开放课程学分认定和学分管理制度创新。</w:t>
      </w:r>
    </w:p>
    <w:p>
      <w:pPr>
        <w:pStyle w:val="7"/>
        <w:rPr>
          <w:rFonts w:hint="eastAsia" w:ascii="仿宋" w:hAnsi="仿宋" w:eastAsia="仿宋" w:cs="黑体"/>
          <w:kern w:val="2"/>
          <w:sz w:val="28"/>
          <w:szCs w:val="28"/>
          <w:lang w:val="en-US" w:eastAsia="zh-CN" w:bidi="ar-SA"/>
        </w:rPr>
      </w:pPr>
      <w:bookmarkStart w:id="69" w:name="_Toc4219"/>
      <w:r>
        <w:rPr>
          <w:rFonts w:hint="eastAsia"/>
          <w:lang w:eastAsia="zh-CN"/>
        </w:rPr>
        <w:t>发展教育信息化和大数据技术</w:t>
      </w:r>
      <w:bookmarkEnd w:id="69"/>
      <w:r>
        <w:rPr>
          <w:rFonts w:hint="eastAsia"/>
          <w:lang w:eastAsia="zh-CN"/>
        </w:rPr>
        <w:t>。</w:t>
      </w:r>
      <w:r>
        <w:rPr>
          <w:rFonts w:hint="eastAsia" w:ascii="仿宋" w:hAnsi="仿宋" w:eastAsia="仿宋" w:cs="黑体"/>
          <w:kern w:val="2"/>
          <w:sz w:val="28"/>
          <w:szCs w:val="28"/>
          <w:lang w:val="en-US" w:eastAsia="zh-CN" w:bidi="ar-SA"/>
        </w:rPr>
        <w:t>将信息技术与教学深度融合，支持教师运用互联网和信息技术，开发网络教学课程和教学工具，拓宽教学时空，重构教学流程，促进知识创新，为学生提供个性化、智能化的教育资源与学习工具，支持学生个性化学习、碎片化学习。运用大数据技术，掌握不同学生学习需求和学习规律，完善学业成绩的评价体系。</w:t>
      </w:r>
    </w:p>
    <w:p>
      <w:pPr>
        <w:rPr>
          <w:rFonts w:hint="eastAsia" w:ascii="楷体" w:hAnsi="楷体" w:eastAsia="楷体" w:cs="楷体"/>
        </w:rPr>
      </w:pPr>
      <w:r>
        <w:rPr>
          <w:rFonts w:hint="eastAsia"/>
        </w:rPr>
        <w:t>时间进度：</w:t>
      </w:r>
      <w:r>
        <w:rPr>
          <w:rFonts w:hint="eastAsia" w:ascii="楷体" w:hAnsi="楷体" w:eastAsia="楷体" w:cs="楷体"/>
        </w:rPr>
        <w:t>建设15门国家</w:t>
      </w:r>
      <w:r>
        <w:rPr>
          <w:rFonts w:hint="eastAsia" w:ascii="楷体" w:hAnsi="楷体" w:eastAsia="楷体" w:cs="楷体"/>
          <w:lang w:eastAsia="zh-CN"/>
        </w:rPr>
        <w:t>精品</w:t>
      </w:r>
      <w:r>
        <w:rPr>
          <w:rFonts w:hint="eastAsia" w:ascii="楷体" w:hAnsi="楷体" w:eastAsia="楷体" w:cs="楷体"/>
        </w:rPr>
        <w:t>开放课程</w:t>
      </w:r>
      <w:r>
        <w:rPr>
          <w:rFonts w:hint="eastAsia" w:ascii="楷体" w:hAnsi="楷体" w:eastAsia="楷体" w:cs="楷体"/>
          <w:lang w:eastAsia="zh-CN"/>
        </w:rPr>
        <w:t>，</w:t>
      </w:r>
      <w:r>
        <w:rPr>
          <w:rFonts w:hint="eastAsia" w:ascii="楷体" w:hAnsi="楷体" w:eastAsia="楷体" w:cs="楷体"/>
        </w:rPr>
        <w:t>每年按照国家级标准建设校级精品开放课程20</w:t>
      </w:r>
      <w:r>
        <w:rPr>
          <w:rFonts w:hint="eastAsia" w:ascii="楷体" w:hAnsi="楷体" w:eastAsia="楷体" w:cs="楷体"/>
          <w:lang w:val="en-US" w:eastAsia="zh-CN"/>
        </w:rPr>
        <w:t>0</w:t>
      </w:r>
      <w:r>
        <w:rPr>
          <w:rFonts w:hint="eastAsia" w:ascii="楷体" w:hAnsi="楷体" w:eastAsia="楷体" w:cs="楷体"/>
        </w:rPr>
        <w:t>门，每年新增省级精品</w:t>
      </w:r>
      <w:r>
        <w:rPr>
          <w:rFonts w:hint="eastAsia" w:ascii="楷体" w:hAnsi="楷体" w:eastAsia="楷体" w:cs="楷体"/>
          <w:lang w:eastAsia="zh-CN"/>
        </w:rPr>
        <w:t>开放</w:t>
      </w:r>
      <w:r>
        <w:rPr>
          <w:rFonts w:hint="eastAsia" w:ascii="楷体" w:hAnsi="楷体" w:eastAsia="楷体" w:cs="楷体"/>
        </w:rPr>
        <w:t>课程2门；</w:t>
      </w:r>
      <w:r>
        <w:rPr>
          <w:rFonts w:hint="eastAsia" w:ascii="楷体" w:hAnsi="楷体" w:eastAsia="楷体" w:cs="楷体"/>
          <w:lang w:val="en-US" w:eastAsia="zh-CN"/>
        </w:rPr>
        <w:t>信息化课程建设</w:t>
      </w:r>
      <w:r>
        <w:rPr>
          <w:rFonts w:hint="eastAsia" w:ascii="楷体" w:hAnsi="楷体" w:eastAsia="楷体" w:cs="楷体"/>
        </w:rPr>
        <w:t>达到</w:t>
      </w:r>
      <w:r>
        <w:rPr>
          <w:rFonts w:hint="eastAsia" w:ascii="楷体" w:hAnsi="楷体" w:eastAsia="楷体" w:cs="楷体"/>
          <w:lang w:val="en-US" w:eastAsia="zh-CN"/>
        </w:rPr>
        <w:t>1000</w:t>
      </w:r>
      <w:r>
        <w:rPr>
          <w:rFonts w:hint="eastAsia" w:ascii="楷体" w:hAnsi="楷体" w:eastAsia="楷体" w:cs="楷体"/>
        </w:rPr>
        <w:t>门，实现全部学生的在线学习。建设创新创业专门课程群10个。</w:t>
      </w:r>
    </w:p>
    <w:p>
      <w:r>
        <w:rPr>
          <w:rFonts w:hint="eastAsia"/>
        </w:rPr>
        <w:t>牵头单位：教务处</w:t>
      </w:r>
    </w:p>
    <w:p>
      <w:pPr>
        <w:rPr>
          <w:rFonts w:hint="eastAsia"/>
        </w:rPr>
      </w:pPr>
      <w:r>
        <w:rPr>
          <w:rFonts w:hint="eastAsia"/>
        </w:rPr>
        <w:t>配合单位：相关学院</w:t>
      </w:r>
    </w:p>
    <w:p>
      <w:pPr>
        <w:pStyle w:val="6"/>
        <w:numPr>
          <w:ilvl w:val="0"/>
          <w:numId w:val="2"/>
        </w:numPr>
        <w:tabs>
          <w:tab w:val="left" w:pos="840"/>
        </w:tabs>
        <w:ind w:left="425" w:leftChars="0" w:firstLine="135" w:firstLineChars="0"/>
        <w:rPr>
          <w:rFonts w:hint="eastAsia"/>
          <w:lang w:val="en-US" w:eastAsia="zh-CN"/>
        </w:rPr>
      </w:pPr>
      <w:bookmarkStart w:id="70" w:name="_Toc23220"/>
      <w:bookmarkStart w:id="71" w:name="_Toc5567"/>
      <w:r>
        <w:rPr>
          <w:rFonts w:hint="eastAsia"/>
          <w:lang w:val="en-US" w:eastAsia="zh-CN"/>
        </w:rPr>
        <w:t>实践教学效果提升工程</w:t>
      </w:r>
      <w:bookmarkEnd w:id="70"/>
      <w:bookmarkEnd w:id="71"/>
    </w:p>
    <w:p>
      <w:pPr>
        <w:pStyle w:val="7"/>
        <w:rPr>
          <w:rFonts w:hint="eastAsia" w:ascii="仿宋" w:hAnsi="仿宋" w:eastAsia="仿宋" w:cs="黑体"/>
          <w:kern w:val="2"/>
          <w:sz w:val="28"/>
          <w:szCs w:val="28"/>
          <w:lang w:val="en-US" w:eastAsia="zh-CN" w:bidi="ar-SA"/>
        </w:rPr>
      </w:pPr>
      <w:r>
        <w:rPr>
          <w:rFonts w:hint="eastAsia"/>
          <w:b w:val="0"/>
          <w:bCs w:val="0"/>
        </w:rPr>
        <w:t>科学合理规范实践教学体系，及时更新实践教学内容，</w:t>
      </w:r>
      <w:r>
        <w:rPr>
          <w:rFonts w:hint="eastAsia" w:ascii="仿宋" w:hAnsi="仿宋" w:eastAsia="仿宋" w:cs="黑体"/>
          <w:kern w:val="2"/>
          <w:sz w:val="28"/>
          <w:szCs w:val="28"/>
          <w:lang w:val="en-US" w:eastAsia="zh-CN" w:bidi="ar-SA"/>
        </w:rPr>
        <w:t>积极引进先进的实践教学方法，充分调动学生自主学习、自主实践的积极性，切实提高实践教学效果。针对国际化人才、拔尖创新人才、卓越工程师等不同培养类型，设计相应的实践教学体系。国际化人才培养要突出学生国际视野与跨文化交流能力，设置相应的国际交流实践环节，拔尖创新人才要强化学生研究与创新能力，设置校内科研基地和相应科研院所研究工作岗位顶岗实习环节，卓越工程师要强化学生的工程实践能力，设置科研基地或企业工程技术岗位顶岗实习环节。完善激励机制，将优势学科资源、企业和社会资源转化为教学资源，建设一批实践教学基地和实践教学课程。</w:t>
      </w:r>
    </w:p>
    <w:p>
      <w:pPr>
        <w:pStyle w:val="7"/>
        <w:rPr>
          <w:rFonts w:hint="eastAsia"/>
          <w:b w:val="0"/>
          <w:bCs w:val="0"/>
        </w:rPr>
      </w:pPr>
      <w:r>
        <w:rPr>
          <w:rFonts w:hint="eastAsia"/>
          <w:b w:val="0"/>
          <w:bCs w:val="0"/>
        </w:rPr>
        <w:t>加大对实习实践教学的经费投入和机制保障，</w:t>
      </w:r>
      <w:r>
        <w:rPr>
          <w:rFonts w:hint="eastAsia" w:ascii="仿宋" w:hAnsi="仿宋" w:eastAsia="仿宋" w:cs="黑体"/>
          <w:kern w:val="2"/>
          <w:sz w:val="28"/>
          <w:szCs w:val="28"/>
          <w:lang w:val="en-US" w:eastAsia="zh-CN" w:bidi="ar-SA"/>
        </w:rPr>
        <w:t>建立教学管理部门、学生管理部门和教学单位合作与联动的机制，共同推进创新型、实践型的人才培养。学校将通过制定学生实习实训、社会实践的教学计划，加强实践教学环节的制度规范，加大建设教学实习和就业实习的基地。学校还将加大改善实验室建设条件的力度，加强实验室管理的制度建设，以保障学生科研项目和创新活动的顺利开展。</w:t>
      </w:r>
    </w:p>
    <w:p>
      <w:pPr>
        <w:pStyle w:val="7"/>
        <w:rPr>
          <w:rFonts w:hint="eastAsia"/>
          <w:b w:val="0"/>
          <w:bCs w:val="0"/>
        </w:rPr>
      </w:pPr>
      <w:r>
        <w:rPr>
          <w:rFonts w:hint="eastAsia"/>
          <w:b w:val="0"/>
          <w:bCs w:val="0"/>
        </w:rPr>
        <w:t>加大实习检查力度，</w:t>
      </w:r>
      <w:r>
        <w:rPr>
          <w:rFonts w:hint="eastAsia" w:ascii="仿宋" w:hAnsi="仿宋" w:eastAsia="仿宋" w:cs="黑体"/>
          <w:kern w:val="2"/>
          <w:sz w:val="28"/>
          <w:szCs w:val="28"/>
          <w:lang w:val="en-US" w:eastAsia="zh-CN" w:bidi="ar-SA"/>
        </w:rPr>
        <w:t>对照实践教学计划检查教学落实情况，召开实习学生座谈会，了解实习教学执行过程及学生对实习过程的评价及建议，建立实践教学计划执行效果与经费投入联动机制。</w:t>
      </w:r>
    </w:p>
    <w:p>
      <w:pPr>
        <w:rPr>
          <w:rFonts w:hint="eastAsia" w:ascii="楷体" w:hAnsi="楷体" w:eastAsia="楷体" w:cs="楷体"/>
        </w:rPr>
      </w:pPr>
      <w:r>
        <w:rPr>
          <w:rFonts w:hint="eastAsia"/>
        </w:rPr>
        <w:t>时间进度：</w:t>
      </w:r>
      <w:r>
        <w:rPr>
          <w:rFonts w:hint="eastAsia" w:ascii="楷体" w:hAnsi="楷体" w:eastAsia="楷体" w:cs="楷体"/>
        </w:rPr>
        <w:t>到2020年</w:t>
      </w:r>
      <w:r>
        <w:rPr>
          <w:rFonts w:hint="eastAsia" w:ascii="楷体" w:hAnsi="楷体" w:eastAsia="楷体" w:cs="楷体"/>
          <w:lang w:eastAsia="zh-CN"/>
        </w:rPr>
        <w:t>，建设</w:t>
      </w:r>
      <w:r>
        <w:rPr>
          <w:rFonts w:hint="eastAsia" w:ascii="楷体" w:hAnsi="楷体" w:eastAsia="楷体" w:cs="楷体"/>
        </w:rPr>
        <w:t>30个工程实践教育基地</w:t>
      </w:r>
      <w:r>
        <w:rPr>
          <w:rFonts w:hint="eastAsia" w:ascii="楷体" w:hAnsi="楷体" w:eastAsia="楷体" w:cs="楷体"/>
          <w:lang w:eastAsia="zh-CN"/>
        </w:rPr>
        <w:t>，</w:t>
      </w:r>
      <w:r>
        <w:rPr>
          <w:rFonts w:hint="eastAsia" w:ascii="楷体" w:hAnsi="楷体" w:eastAsia="楷体" w:cs="楷体"/>
          <w:lang w:val="en-US" w:eastAsia="zh-CN"/>
        </w:rPr>
        <w:t>建设10个校内实验实训综合平台。</w:t>
      </w:r>
    </w:p>
    <w:p>
      <w:r>
        <w:rPr>
          <w:rFonts w:hint="eastAsia"/>
        </w:rPr>
        <w:t xml:space="preserve">牵头单位：教务处    </w:t>
      </w:r>
    </w:p>
    <w:p>
      <w:pPr>
        <w:rPr>
          <w:rFonts w:hint="eastAsia"/>
        </w:rPr>
      </w:pPr>
      <w:r>
        <w:rPr>
          <w:rFonts w:hint="eastAsia"/>
        </w:rPr>
        <w:t>配合单位：相关学院</w:t>
      </w:r>
    </w:p>
    <w:p>
      <w:pPr>
        <w:pStyle w:val="6"/>
        <w:numPr>
          <w:ilvl w:val="0"/>
          <w:numId w:val="2"/>
        </w:numPr>
        <w:tabs>
          <w:tab w:val="left" w:pos="840"/>
        </w:tabs>
        <w:ind w:left="425" w:leftChars="0" w:firstLine="135" w:firstLineChars="0"/>
        <w:rPr>
          <w:rFonts w:hint="eastAsia"/>
          <w:lang w:val="en-US" w:eastAsia="zh-CN"/>
        </w:rPr>
      </w:pPr>
      <w:bookmarkStart w:id="72" w:name="_Toc10275"/>
      <w:bookmarkStart w:id="73" w:name="_Toc8798"/>
      <w:r>
        <w:rPr>
          <w:rFonts w:hint="eastAsia"/>
          <w:lang w:val="en-US" w:eastAsia="zh-CN"/>
        </w:rPr>
        <w:t>国际化人才培养工程</w:t>
      </w:r>
    </w:p>
    <w:p>
      <w:pPr>
        <w:pStyle w:val="7"/>
        <w:rPr>
          <w:rFonts w:hint="eastAsia"/>
          <w:b w:val="0"/>
          <w:bCs w:val="0"/>
          <w:lang w:val="en-US" w:eastAsia="zh-CN"/>
        </w:rPr>
      </w:pPr>
      <w:r>
        <w:rPr>
          <w:rFonts w:hint="eastAsia"/>
          <w:b w:val="0"/>
          <w:bCs w:val="0"/>
          <w:lang w:val="en-US" w:eastAsia="zh-CN"/>
        </w:rPr>
        <w:t>加强宣传教育、营造国际化氛围。</w:t>
      </w:r>
      <w:r>
        <w:rPr>
          <w:rFonts w:hint="eastAsia" w:ascii="仿宋" w:hAnsi="仿宋" w:eastAsia="仿宋"/>
          <w:lang w:val="en-US" w:eastAsia="zh-CN"/>
        </w:rPr>
        <w:t>通过学校政策宣讲、项目推介、学术讲座等系列活动，引导和培养学生国际化的意识。通过在专业教育过程中及时引入国际学术前沿理论和先进技术，开阔学生视野，提升学生参与国际交流的兴趣和积极性，形成学校良好的国际化氛围。</w:t>
      </w:r>
    </w:p>
    <w:p>
      <w:pPr>
        <w:pStyle w:val="7"/>
        <w:rPr>
          <w:rFonts w:hint="eastAsia"/>
          <w:b w:val="0"/>
          <w:bCs w:val="0"/>
          <w:lang w:val="en-US" w:eastAsia="zh-CN"/>
        </w:rPr>
      </w:pPr>
      <w:r>
        <w:rPr>
          <w:rFonts w:hint="eastAsia"/>
          <w:b w:val="0"/>
          <w:bCs w:val="0"/>
          <w:lang w:val="en-US" w:eastAsia="zh-CN"/>
        </w:rPr>
        <w:t>拓展学生国际交流平台。</w:t>
      </w:r>
      <w:r>
        <w:rPr>
          <w:rFonts w:hint="eastAsia" w:ascii="仿宋" w:hAnsi="仿宋" w:eastAsia="仿宋"/>
          <w:lang w:val="en-US" w:eastAsia="zh-CN"/>
        </w:rPr>
        <w:t>加强与现有国际合作高校的沟通交流，丰富交流项目的内容，规范管理，提高效益；有针对性地加强与国际知名高校的联系和合作，拓展新的学生国际交流项目；以材料科学国际化示范学院，车辆工程和金融学国际合作专业为引领，在相关优势专业推广国际联合培养，提高学生国际化能力培养的深度和效果。</w:t>
      </w:r>
    </w:p>
    <w:p>
      <w:pPr>
        <w:pStyle w:val="7"/>
        <w:rPr>
          <w:rFonts w:hint="eastAsia" w:ascii="仿宋" w:hAnsi="仿宋" w:eastAsia="仿宋"/>
          <w:lang w:val="en-US" w:eastAsia="zh-CN"/>
        </w:rPr>
      </w:pPr>
      <w:r>
        <w:rPr>
          <w:rFonts w:hint="eastAsia"/>
          <w:b w:val="0"/>
          <w:bCs w:val="0"/>
          <w:lang w:val="en-US" w:eastAsia="zh-CN"/>
        </w:rPr>
        <w:t>完善制度政策，支持学生国际交流。</w:t>
      </w:r>
      <w:r>
        <w:rPr>
          <w:rFonts w:hint="eastAsia" w:ascii="仿宋" w:hAnsi="仿宋" w:eastAsia="仿宋"/>
          <w:lang w:val="en-US" w:eastAsia="zh-CN"/>
        </w:rPr>
        <w:t>面向本科生组织开展免费外语培训，提高学生的外语能力。制定并实施本科学生公派出国（境）学习交流资助管理办法（试行），鼓励和支持本科学生赴国（境）外知名院校或科研机构进行课程学习、毕业设计、短期实践，参加国际会议、竞赛等，提高学生国际视野和跨文化交流能力。</w:t>
      </w:r>
    </w:p>
    <w:p>
      <w:pPr>
        <w:rPr>
          <w:rFonts w:hint="eastAsia"/>
          <w:lang w:val="en-US" w:eastAsia="zh-CN"/>
        </w:rPr>
      </w:pPr>
      <w:r>
        <w:rPr>
          <w:rFonts w:hint="eastAsia"/>
          <w:lang w:val="en-US" w:eastAsia="zh-CN"/>
        </w:rPr>
        <w:t>时间进度：</w:t>
      </w:r>
      <w:r>
        <w:rPr>
          <w:rFonts w:hint="eastAsia" w:ascii="楷体" w:hAnsi="楷体" w:eastAsia="楷体" w:cs="楷体"/>
          <w:lang w:val="en-US" w:eastAsia="zh-CN"/>
        </w:rPr>
        <w:t>到2018年，专业优势明显、基础好的相关专业，具有海外交流经历的学生比例达到10%，其他专业达到5%；到2020年，专业优势明显、基础好的相关专业，具有海外交流经历的学生比例达到20%，其他专业达到10%。</w:t>
      </w:r>
    </w:p>
    <w:p>
      <w:pPr>
        <w:rPr>
          <w:rFonts w:hint="eastAsia"/>
          <w:lang w:val="en-US" w:eastAsia="zh-CN"/>
        </w:rPr>
      </w:pPr>
      <w:r>
        <w:rPr>
          <w:rFonts w:hint="eastAsia"/>
          <w:lang w:val="en-US" w:eastAsia="zh-CN"/>
        </w:rPr>
        <w:t>牵头单位：教务处</w:t>
      </w:r>
    </w:p>
    <w:p>
      <w:pPr>
        <w:rPr>
          <w:rFonts w:hint="default"/>
          <w:lang w:val="en-US" w:eastAsia="zh-CN"/>
        </w:rPr>
      </w:pPr>
      <w:r>
        <w:rPr>
          <w:rFonts w:hint="eastAsia"/>
          <w:lang w:val="en-US" w:eastAsia="zh-CN"/>
        </w:rPr>
        <w:t>配合单位：相关学院</w:t>
      </w:r>
    </w:p>
    <w:p>
      <w:pPr>
        <w:pStyle w:val="6"/>
        <w:numPr>
          <w:ilvl w:val="0"/>
          <w:numId w:val="2"/>
        </w:numPr>
        <w:tabs>
          <w:tab w:val="left" w:pos="840"/>
        </w:tabs>
        <w:ind w:left="425" w:leftChars="0" w:firstLine="135" w:firstLineChars="0"/>
        <w:rPr>
          <w:rFonts w:hint="eastAsia"/>
          <w:lang w:val="en-US" w:eastAsia="zh-CN"/>
        </w:rPr>
      </w:pPr>
      <w:r>
        <w:rPr>
          <w:rFonts w:hint="eastAsia"/>
          <w:lang w:val="en-US" w:eastAsia="zh-CN"/>
        </w:rPr>
        <w:t>人才培养体制机制改革</w:t>
      </w:r>
      <w:bookmarkEnd w:id="72"/>
      <w:bookmarkEnd w:id="73"/>
    </w:p>
    <w:p>
      <w:pPr>
        <w:rPr>
          <w:rFonts w:hint="eastAsia"/>
        </w:rPr>
      </w:pPr>
      <w:bookmarkStart w:id="74" w:name="_Toc23941"/>
      <w:r>
        <w:rPr>
          <w:rFonts w:hint="eastAsia"/>
        </w:rPr>
        <w:t>践行卓越教育理念，以学生的成才和发展为中心，改革培养模式，推进素质教育，完善人才培养工作中的体制机制，坚持教书育人、管理育人和服务育人。</w:t>
      </w:r>
    </w:p>
    <w:p>
      <w:pPr>
        <w:pStyle w:val="7"/>
        <w:rPr>
          <w:rFonts w:hint="eastAsia" w:eastAsia="黑体"/>
          <w:lang w:val="en-US" w:eastAsia="zh-CN"/>
        </w:rPr>
      </w:pPr>
      <w:r>
        <w:rPr>
          <w:rFonts w:hint="eastAsia"/>
          <w:lang w:val="en-US" w:eastAsia="zh-CN"/>
        </w:rPr>
        <w:t>进一步开展试点学院建设。</w:t>
      </w:r>
      <w:r>
        <w:rPr>
          <w:rFonts w:hint="eastAsia" w:ascii="仿宋" w:hAnsi="仿宋" w:eastAsia="仿宋"/>
          <w:lang w:val="en-US" w:eastAsia="zh-CN"/>
        </w:rPr>
        <w:t>实施国际化战略，建设材料科学与工程国际化示范学院，突破国际协同培养拔尖创新人才的瓶颈,创新国际化协同管理体制、国际高端人才团队引进模式、拔尖人才国际协同培养体系，建设国际材料领域具有重要影响和示范作用的拔尖创新人才培养基地和知识创新基地。发挥材料科学与工程国际化示范学院建设的经验，培育建设先进制造与信息化国际化示范学院。</w:t>
      </w:r>
    </w:p>
    <w:p>
      <w:pPr>
        <w:pStyle w:val="7"/>
        <w:rPr>
          <w:rFonts w:hint="eastAsia" w:ascii="仿宋" w:hAnsi="仿宋" w:eastAsia="仿宋" w:cs="黑体"/>
          <w:kern w:val="2"/>
          <w:sz w:val="28"/>
          <w:szCs w:val="28"/>
          <w:lang w:val="en-US" w:eastAsia="zh-CN" w:bidi="ar-SA"/>
        </w:rPr>
      </w:pPr>
      <w:r>
        <w:rPr>
          <w:rFonts w:hint="eastAsia"/>
          <w:lang w:eastAsia="zh-CN"/>
        </w:rPr>
        <w:t>进一步</w:t>
      </w:r>
      <w:r>
        <w:rPr>
          <w:rFonts w:hint="eastAsia"/>
        </w:rPr>
        <w:t>完善</w:t>
      </w:r>
      <w:r>
        <w:rPr>
          <w:rFonts w:hint="eastAsia"/>
          <w:lang w:eastAsia="zh-CN"/>
        </w:rPr>
        <w:t>学分制培养相关制度。</w:t>
      </w:r>
      <w:bookmarkEnd w:id="74"/>
      <w:r>
        <w:rPr>
          <w:rFonts w:hint="eastAsia" w:ascii="仿宋" w:hAnsi="仿宋" w:eastAsia="仿宋" w:cs="黑体"/>
          <w:kern w:val="2"/>
          <w:sz w:val="28"/>
          <w:szCs w:val="28"/>
          <w:lang w:val="en-US" w:eastAsia="zh-CN" w:bidi="ar-SA"/>
        </w:rPr>
        <w:t>进一步扩大学生选择专业课程的自主性，实施弹性学制，放宽学生修业年限。完善选课制度，增加选修课比重，增加跨专业学科选课范围；完善导师制，为学生选择专业和课程提供指导和帮助，因材施教，促进学生个性发展；完善弹性学制下的各项教学管理制度，为学生自主选择学习进程提供保障。</w:t>
      </w:r>
    </w:p>
    <w:p>
      <w:pPr>
        <w:pStyle w:val="7"/>
        <w:rPr>
          <w:rFonts w:hint="eastAsia" w:ascii="仿宋" w:hAnsi="仿宋" w:eastAsia="仿宋" w:cs="黑体"/>
          <w:kern w:val="2"/>
          <w:sz w:val="28"/>
          <w:szCs w:val="28"/>
          <w:lang w:val="en-US" w:eastAsia="zh-CN" w:bidi="ar-SA"/>
        </w:rPr>
      </w:pPr>
      <w:bookmarkStart w:id="75" w:name="_Toc15693"/>
      <w:r>
        <w:rPr>
          <w:rFonts w:hint="eastAsia"/>
          <w:lang w:eastAsia="zh-CN"/>
        </w:rPr>
        <w:t>进一步深化用人制度改革。</w:t>
      </w:r>
      <w:bookmarkEnd w:id="75"/>
      <w:r>
        <w:rPr>
          <w:rFonts w:hint="eastAsia" w:ascii="仿宋" w:hAnsi="仿宋" w:eastAsia="仿宋" w:cs="黑体"/>
          <w:kern w:val="2"/>
          <w:sz w:val="28"/>
          <w:szCs w:val="28"/>
          <w:lang w:val="en-US" w:eastAsia="zh-CN" w:bidi="ar-SA"/>
        </w:rPr>
        <w:t>深化用人制度改革，改革现有的人事聘任、考核、激励制度，实施竞争淘汰，教师竞聘上岗，确保人才培养质量。建立由第三方对教师教学科研能力评价与公开制度；探索建立与国际接轨的教师年薪制、协议薪酬制。以提升中青年教师教学能力为重点，完善教师培训和教师职业生涯规划与发展机制，切实提高教师教学能力和教学水平。满足教师个性化专业化发展，凸显学校人才培养特色。</w:t>
      </w:r>
      <w:bookmarkStart w:id="76" w:name="_Toc424"/>
    </w:p>
    <w:p>
      <w:pPr>
        <w:pStyle w:val="7"/>
        <w:rPr>
          <w:rFonts w:hint="eastAsia" w:ascii="仿宋" w:hAnsi="仿宋" w:eastAsia="仿宋" w:cs="黑体"/>
          <w:kern w:val="2"/>
          <w:sz w:val="28"/>
          <w:szCs w:val="28"/>
          <w:lang w:val="en-US" w:eastAsia="zh-CN" w:bidi="ar-SA"/>
        </w:rPr>
      </w:pPr>
      <w:r>
        <w:rPr>
          <w:rFonts w:hint="eastAsia"/>
          <w:lang w:eastAsia="zh-CN"/>
        </w:rPr>
        <w:t>进一步完善人才培养工作中的过程管理。</w:t>
      </w:r>
      <w:bookmarkEnd w:id="76"/>
      <w:r>
        <w:rPr>
          <w:rFonts w:hint="eastAsia" w:ascii="仿宋" w:hAnsi="仿宋" w:eastAsia="仿宋" w:cs="黑体"/>
          <w:kern w:val="2"/>
          <w:sz w:val="28"/>
          <w:szCs w:val="28"/>
          <w:lang w:val="en-US" w:eastAsia="zh-CN" w:bidi="ar-SA"/>
        </w:rPr>
        <w:t>全面确保教授为本科生授课。实施教师教学效果公开制度，确保教学质量。加强对实验技术人员的培训和管理，提高实践教学师资队伍的整体素质。规范学校和院系层面的教学研究活动，把以课程建设和专业建设为核心的教研活动常态化，并列入教师工作量考核。</w:t>
      </w:r>
    </w:p>
    <w:p>
      <w:pPr>
        <w:rPr>
          <w:rFonts w:hint="eastAsia" w:ascii="楷体" w:hAnsi="楷体" w:eastAsia="楷体" w:cs="楷体"/>
        </w:rPr>
      </w:pPr>
      <w:r>
        <w:rPr>
          <w:rFonts w:hint="eastAsia"/>
          <w:lang w:val="en-US" w:eastAsia="zh-CN"/>
        </w:rPr>
        <w:t>时间进度：</w:t>
      </w:r>
      <w:r>
        <w:rPr>
          <w:rFonts w:hint="eastAsia" w:ascii="楷体" w:hAnsi="楷体" w:eastAsia="楷体" w:cs="楷体"/>
        </w:rPr>
        <w:t>建设材料科学与工程国际化示范学院</w:t>
      </w:r>
      <w:r>
        <w:rPr>
          <w:rFonts w:hint="eastAsia" w:ascii="楷体" w:hAnsi="楷体" w:eastAsia="楷体" w:cs="楷体"/>
          <w:lang w:eastAsia="zh-CN"/>
        </w:rPr>
        <w:t>，</w:t>
      </w:r>
      <w:r>
        <w:rPr>
          <w:rFonts w:hint="eastAsia" w:ascii="楷体" w:hAnsi="楷体" w:eastAsia="楷体" w:cs="楷体"/>
          <w:lang w:val="en-US" w:eastAsia="zh-CN"/>
        </w:rPr>
        <w:t>到2020年，建成</w:t>
      </w:r>
      <w:r>
        <w:rPr>
          <w:rFonts w:hint="eastAsia" w:ascii="楷体" w:hAnsi="楷体" w:eastAsia="楷体" w:cs="楷体"/>
        </w:rPr>
        <w:t>先进制造与信息化国际化试点学院</w:t>
      </w:r>
      <w:r>
        <w:rPr>
          <w:rFonts w:hint="eastAsia" w:ascii="楷体" w:hAnsi="楷体" w:eastAsia="楷体" w:cs="楷体"/>
          <w:lang w:eastAsia="zh-CN"/>
        </w:rPr>
        <w:t>。</w:t>
      </w:r>
    </w:p>
    <w:p>
      <w:r>
        <w:rPr>
          <w:rFonts w:hint="eastAsia"/>
        </w:rPr>
        <w:t>牵头单位：教务处、研究生院</w:t>
      </w:r>
    </w:p>
    <w:p>
      <w:pPr>
        <w:rPr>
          <w:rFonts w:hint="eastAsia"/>
        </w:rPr>
      </w:pPr>
      <w:r>
        <w:rPr>
          <w:rFonts w:hint="eastAsia"/>
        </w:rPr>
        <w:t>配合单位：相关学院</w:t>
      </w:r>
    </w:p>
    <w:p>
      <w:pPr>
        <w:pStyle w:val="6"/>
        <w:numPr>
          <w:ilvl w:val="0"/>
          <w:numId w:val="2"/>
        </w:numPr>
        <w:tabs>
          <w:tab w:val="left" w:pos="840"/>
        </w:tabs>
        <w:ind w:left="425" w:leftChars="0" w:firstLine="135" w:firstLineChars="0"/>
        <w:rPr>
          <w:rFonts w:hint="eastAsia"/>
          <w:lang w:val="en-US" w:eastAsia="zh-CN"/>
        </w:rPr>
      </w:pPr>
      <w:bookmarkStart w:id="77" w:name="_Toc29054"/>
      <w:bookmarkStart w:id="78" w:name="_Toc816"/>
      <w:r>
        <w:rPr>
          <w:rFonts w:hint="eastAsia"/>
          <w:lang w:val="en-US" w:eastAsia="zh-CN"/>
        </w:rPr>
        <w:t>教学质量监控</w:t>
      </w:r>
      <w:bookmarkEnd w:id="77"/>
      <w:r>
        <w:rPr>
          <w:rFonts w:hint="eastAsia"/>
          <w:lang w:val="en-US" w:eastAsia="zh-CN"/>
        </w:rPr>
        <w:t>体系建设</w:t>
      </w:r>
      <w:bookmarkEnd w:id="78"/>
    </w:p>
    <w:p>
      <w:pPr>
        <w:pStyle w:val="7"/>
        <w:rPr>
          <w:rFonts w:hint="eastAsia" w:ascii="仿宋" w:hAnsi="仿宋" w:eastAsia="仿宋" w:cs="黑体"/>
          <w:kern w:val="2"/>
          <w:sz w:val="28"/>
          <w:szCs w:val="28"/>
          <w:lang w:val="en-US" w:eastAsia="zh-CN" w:bidi="ar-SA"/>
        </w:rPr>
      </w:pPr>
      <w:bookmarkStart w:id="79" w:name="_Toc26046"/>
      <w:r>
        <w:rPr>
          <w:rFonts w:hint="eastAsia"/>
        </w:rPr>
        <w:t>完善人才培养质量标准</w:t>
      </w:r>
      <w:r>
        <w:rPr>
          <w:rFonts w:hint="eastAsia"/>
          <w:lang w:eastAsia="zh-CN"/>
        </w:rPr>
        <w:t>。</w:t>
      </w:r>
      <w:bookmarkEnd w:id="79"/>
      <w:r>
        <w:rPr>
          <w:rFonts w:hint="eastAsia" w:ascii="仿宋" w:hAnsi="仿宋" w:eastAsia="仿宋" w:cs="黑体"/>
          <w:kern w:val="2"/>
          <w:sz w:val="28"/>
          <w:szCs w:val="28"/>
          <w:lang w:val="en-US" w:eastAsia="zh-CN" w:bidi="ar-SA"/>
        </w:rPr>
        <w:t>结合办学定位、服务面向、卓越人才培养、创新创业教育和国际化人才培养的目标，制定专业教学质量标准，并细化知识、能力和素质要求。</w:t>
      </w:r>
    </w:p>
    <w:p>
      <w:pPr>
        <w:pStyle w:val="7"/>
        <w:rPr>
          <w:rFonts w:hint="eastAsia" w:ascii="仿宋" w:hAnsi="仿宋" w:eastAsia="仿宋" w:cs="黑体"/>
          <w:kern w:val="2"/>
          <w:sz w:val="28"/>
          <w:szCs w:val="28"/>
          <w:lang w:val="en-US" w:eastAsia="zh-CN" w:bidi="ar-SA"/>
        </w:rPr>
      </w:pPr>
      <w:bookmarkStart w:id="80" w:name="_Toc20428"/>
      <w:r>
        <w:rPr>
          <w:rFonts w:hint="eastAsia"/>
        </w:rPr>
        <w:t>设立独立的校级教学质量评估机构</w:t>
      </w:r>
      <w:r>
        <w:rPr>
          <w:rFonts w:hint="eastAsia"/>
          <w:lang w:eastAsia="zh-CN"/>
        </w:rPr>
        <w:t>。</w:t>
      </w:r>
      <w:bookmarkEnd w:id="80"/>
      <w:r>
        <w:rPr>
          <w:rFonts w:hint="eastAsia" w:ascii="仿宋" w:hAnsi="仿宋" w:eastAsia="仿宋" w:cs="黑体"/>
          <w:kern w:val="2"/>
          <w:sz w:val="28"/>
          <w:szCs w:val="28"/>
          <w:lang w:val="en-US" w:eastAsia="zh-CN" w:bidi="ar-SA"/>
        </w:rPr>
        <w:t>构建常态监测、持续改善的质量保障体系。完善学校、学院、教研室三级教学质量监控体系，充分发挥教学管理人员、督导、教师、就业单位等多渠道教学质量信息采集网络的反馈作用，对于教学各个环节进行督查、指导和咨询。</w:t>
      </w:r>
    </w:p>
    <w:p>
      <w:pPr>
        <w:pStyle w:val="7"/>
        <w:rPr>
          <w:rFonts w:hint="eastAsia" w:ascii="仿宋" w:hAnsi="仿宋" w:eastAsia="仿宋" w:cs="黑体"/>
          <w:kern w:val="2"/>
          <w:sz w:val="28"/>
          <w:szCs w:val="28"/>
          <w:lang w:val="en-US" w:eastAsia="zh-CN" w:bidi="ar-SA"/>
        </w:rPr>
      </w:pPr>
      <w:bookmarkStart w:id="81" w:name="_Toc18155"/>
      <w:r>
        <w:rPr>
          <w:rFonts w:hint="eastAsia"/>
        </w:rPr>
        <w:t>完善本科专业评估常态化的机制</w:t>
      </w:r>
      <w:r>
        <w:rPr>
          <w:rFonts w:hint="eastAsia"/>
          <w:lang w:eastAsia="zh-CN"/>
        </w:rPr>
        <w:t>。</w:t>
      </w:r>
      <w:bookmarkEnd w:id="81"/>
      <w:r>
        <w:rPr>
          <w:rFonts w:hint="eastAsia" w:ascii="仿宋" w:hAnsi="仿宋" w:eastAsia="仿宋" w:cs="黑体"/>
          <w:kern w:val="2"/>
          <w:sz w:val="28"/>
          <w:szCs w:val="28"/>
          <w:lang w:val="en-US" w:eastAsia="zh-CN" w:bidi="ar-SA"/>
        </w:rPr>
        <w:t>建立教学状态监测数据库，确立常态化的专业调整淘汰机制。充分运用现代网络和信息技术，开发大数据工具，充分利用课内外教学环节学生表现、课程考试成绩、督导及学生评教分数、毕业生反馈问卷等，对于教学各个环节质量监控过程中产生的数据进行信息化处理和科学分析，为提高教学质量提供决策参考。</w:t>
      </w:r>
    </w:p>
    <w:p>
      <w:pPr>
        <w:pStyle w:val="7"/>
        <w:rPr>
          <w:rFonts w:hint="eastAsia" w:ascii="仿宋" w:hAnsi="仿宋" w:eastAsia="仿宋" w:cs="黑体"/>
          <w:kern w:val="2"/>
          <w:sz w:val="28"/>
          <w:szCs w:val="28"/>
          <w:lang w:val="en-US" w:eastAsia="zh-CN" w:bidi="ar-SA"/>
        </w:rPr>
      </w:pPr>
      <w:bookmarkStart w:id="82" w:name="_Toc16998"/>
      <w:r>
        <w:rPr>
          <w:rFonts w:hint="eastAsia"/>
        </w:rPr>
        <w:t>实行教师教学能力公开制度</w:t>
      </w:r>
      <w:r>
        <w:rPr>
          <w:rFonts w:hint="eastAsia"/>
          <w:lang w:eastAsia="zh-CN"/>
        </w:rPr>
        <w:t>。</w:t>
      </w:r>
      <w:bookmarkEnd w:id="82"/>
      <w:r>
        <w:rPr>
          <w:rFonts w:hint="eastAsia" w:ascii="仿宋" w:hAnsi="仿宋" w:eastAsia="仿宋" w:cs="黑体"/>
          <w:kern w:val="2"/>
          <w:sz w:val="28"/>
          <w:szCs w:val="28"/>
          <w:lang w:val="en-US" w:eastAsia="zh-CN" w:bidi="ar-SA"/>
        </w:rPr>
        <w:t>完善重师德、重育人、重教学、重贡献的考核评价机制。建立多维度诊断评估体系，从评估教学水平向服务教学能力发展转变，开展教学理念、教学方式、教学方法的培训和咨询服务，提升教师教学能力。</w:t>
      </w:r>
    </w:p>
    <w:p>
      <w:r>
        <w:rPr>
          <w:rFonts w:hint="eastAsia"/>
        </w:rPr>
        <w:t>时间进度：</w:t>
      </w:r>
      <w:r>
        <w:rPr>
          <w:rFonts w:hint="eastAsia" w:ascii="楷体" w:hAnsi="楷体" w:eastAsia="楷体" w:cs="楷体"/>
          <w:lang w:val="en-US" w:eastAsia="zh-CN"/>
        </w:rPr>
        <w:t>至2020年，实行全部教师教学能力公开。</w:t>
      </w:r>
    </w:p>
    <w:p>
      <w:r>
        <w:rPr>
          <w:rFonts w:hint="eastAsia"/>
        </w:rPr>
        <w:t>牵头单位：教务处</w:t>
      </w:r>
    </w:p>
    <w:p>
      <w:pPr>
        <w:rPr>
          <w:rFonts w:ascii="仿宋_GB2312" w:hAnsi="华文楷体" w:eastAsia="仿宋_GB2312"/>
          <w:color w:val="000000"/>
        </w:rPr>
      </w:pPr>
      <w:r>
        <w:rPr>
          <w:rFonts w:hint="eastAsia"/>
        </w:rPr>
        <w:t>配合单位：相关学院</w:t>
      </w:r>
    </w:p>
    <w:p>
      <w:pPr>
        <w:pStyle w:val="3"/>
        <w:numPr>
          <w:ilvl w:val="0"/>
          <w:numId w:val="3"/>
        </w:numPr>
        <w:rPr>
          <w:rFonts w:hint="eastAsia"/>
          <w:lang w:val="en-US" w:eastAsia="zh-CN"/>
        </w:rPr>
      </w:pPr>
      <w:bookmarkStart w:id="83" w:name="_Toc2282"/>
      <w:bookmarkStart w:id="84" w:name="_Toc27488"/>
      <w:r>
        <w:rPr>
          <w:rFonts w:hint="eastAsia"/>
          <w:lang w:val="en-US" w:eastAsia="zh-CN"/>
        </w:rPr>
        <w:t>核心指标</w:t>
      </w:r>
      <w:bookmarkEnd w:id="83"/>
      <w:bookmarkEnd w:id="84"/>
    </w:p>
    <w:p>
      <w:pPr>
        <w:pStyle w:val="6"/>
        <w:numPr>
          <w:ilvl w:val="0"/>
          <w:numId w:val="4"/>
        </w:numPr>
        <w:tabs>
          <w:tab w:val="left" w:pos="840"/>
        </w:tabs>
        <w:ind w:left="425" w:leftChars="0" w:firstLine="135" w:firstLineChars="0"/>
        <w:rPr>
          <w:rFonts w:hint="eastAsia"/>
          <w:lang w:eastAsia="zh-CN"/>
        </w:rPr>
      </w:pPr>
      <w:r>
        <w:rPr>
          <w:rFonts w:hint="eastAsia"/>
          <w:lang w:eastAsia="zh-CN"/>
        </w:rPr>
        <w:t>创新创业教育工程</w:t>
      </w:r>
    </w:p>
    <w:p>
      <w:pPr>
        <w:rPr>
          <w:rFonts w:hint="eastAsia" w:ascii="楷体" w:hAnsi="楷体" w:eastAsia="楷体" w:cs="楷体"/>
        </w:rPr>
      </w:pPr>
      <w:r>
        <w:rPr>
          <w:rFonts w:hint="eastAsia" w:ascii="楷体" w:hAnsi="楷体" w:eastAsia="楷体" w:cs="楷体"/>
          <w:lang w:eastAsia="zh-CN"/>
        </w:rPr>
        <w:t>到</w:t>
      </w:r>
      <w:r>
        <w:rPr>
          <w:rFonts w:hint="eastAsia" w:ascii="楷体" w:hAnsi="楷体" w:eastAsia="楷体" w:cs="楷体"/>
          <w:lang w:val="en-US" w:eastAsia="zh-CN"/>
        </w:rPr>
        <w:t>2020年，力争全部学生受到创新创业教育，大学生创业梦工厂10个，大学生创新创业团队500个，创新创业人数5000人；本科生获省部级以上创新创业竞赛奖励或国家发明专利2000项</w:t>
      </w:r>
      <w:r>
        <w:rPr>
          <w:rFonts w:hint="eastAsia" w:ascii="楷体" w:hAnsi="楷体" w:eastAsia="楷体" w:cs="楷体"/>
        </w:rPr>
        <w:t>。</w:t>
      </w:r>
    </w:p>
    <w:p>
      <w:pPr>
        <w:pStyle w:val="6"/>
        <w:numPr>
          <w:ilvl w:val="0"/>
          <w:numId w:val="4"/>
        </w:numPr>
        <w:tabs>
          <w:tab w:val="left" w:pos="840"/>
        </w:tabs>
        <w:ind w:left="425" w:leftChars="0" w:firstLine="135" w:firstLineChars="0"/>
        <w:rPr>
          <w:rFonts w:hint="eastAsia"/>
          <w:lang w:eastAsia="zh-CN"/>
        </w:rPr>
      </w:pPr>
      <w:r>
        <w:rPr>
          <w:rFonts w:hint="eastAsia"/>
          <w:lang w:eastAsia="zh-CN"/>
        </w:rPr>
        <w:t>一流专业建设工程</w:t>
      </w:r>
    </w:p>
    <w:p>
      <w:pPr>
        <w:rPr>
          <w:rFonts w:hint="eastAsia" w:ascii="楷体" w:hAnsi="楷体" w:eastAsia="楷体" w:cs="楷体"/>
        </w:rPr>
      </w:pPr>
      <w:r>
        <w:rPr>
          <w:rFonts w:hint="eastAsia" w:ascii="楷体" w:hAnsi="楷体" w:eastAsia="楷体" w:cs="楷体"/>
          <w:lang w:val="en-US" w:eastAsia="zh-CN"/>
        </w:rPr>
        <w:t>2020年，</w:t>
      </w:r>
      <w:r>
        <w:rPr>
          <w:rFonts w:hint="eastAsia" w:ascii="楷体" w:hAnsi="楷体" w:eastAsia="楷体" w:cs="楷体"/>
        </w:rPr>
        <w:t>力争特色专业进入全国专业排名</w:t>
      </w:r>
      <w:r>
        <w:rPr>
          <w:rFonts w:hint="eastAsia" w:ascii="楷体" w:hAnsi="楷体" w:eastAsia="楷体" w:cs="楷体"/>
          <w:lang w:eastAsia="zh-CN"/>
        </w:rPr>
        <w:t>前</w:t>
      </w:r>
      <w:r>
        <w:rPr>
          <w:rFonts w:hint="eastAsia" w:ascii="楷体" w:hAnsi="楷体" w:eastAsia="楷体" w:cs="楷体"/>
          <w:lang w:val="en-US" w:eastAsia="zh-CN"/>
        </w:rPr>
        <w:t>10</w:t>
      </w:r>
      <w:r>
        <w:rPr>
          <w:rFonts w:hint="eastAsia" w:ascii="楷体" w:hAnsi="楷体" w:eastAsia="楷体" w:cs="楷体"/>
        </w:rPr>
        <w:t>，</w:t>
      </w:r>
      <w:r>
        <w:rPr>
          <w:rFonts w:hint="eastAsia" w:ascii="楷体" w:hAnsi="楷体" w:eastAsia="楷体" w:cs="楷体"/>
          <w:bCs w:val="0"/>
          <w:sz w:val="28"/>
          <w:szCs w:val="28"/>
        </w:rPr>
        <w:t>淘汰全国高校专业排名后50%的专业</w:t>
      </w:r>
      <w:r>
        <w:rPr>
          <w:rFonts w:hint="eastAsia" w:ascii="楷体" w:hAnsi="楷体" w:eastAsia="楷体" w:cs="楷体"/>
          <w:lang w:eastAsia="zh-CN"/>
        </w:rPr>
        <w:t>，</w:t>
      </w:r>
      <w:r>
        <w:rPr>
          <w:rFonts w:hint="eastAsia" w:ascii="楷体" w:hAnsi="楷体" w:eastAsia="楷体" w:cs="楷体"/>
        </w:rPr>
        <w:t>20个专业通过国家工程专业认证</w:t>
      </w:r>
      <w:r>
        <w:rPr>
          <w:rFonts w:hint="eastAsia" w:ascii="楷体" w:hAnsi="楷体" w:eastAsia="楷体" w:cs="楷体"/>
          <w:lang w:val="en-US" w:eastAsia="zh-CN"/>
        </w:rPr>
        <w:t>;</w:t>
      </w:r>
      <w:r>
        <w:rPr>
          <w:rFonts w:hint="eastAsia" w:ascii="楷体" w:hAnsi="楷体" w:eastAsia="楷体" w:cs="楷体"/>
        </w:rPr>
        <w:t>建设特色专业建设团队50个，分类别的课程教学团队</w:t>
      </w:r>
      <w:r>
        <w:rPr>
          <w:rFonts w:hint="eastAsia" w:ascii="楷体" w:hAnsi="楷体" w:eastAsia="楷体" w:cs="楷体"/>
          <w:lang w:val="en-US" w:eastAsia="zh-CN"/>
        </w:rPr>
        <w:t>2</w:t>
      </w:r>
      <w:r>
        <w:rPr>
          <w:rFonts w:hint="eastAsia" w:ascii="楷体" w:hAnsi="楷体" w:eastAsia="楷体" w:cs="楷体"/>
        </w:rPr>
        <w:t>00个；至2020年，培养3名省级教学名师和1~2名国家级教学名师，博士生导师达到600名，硕士生导师达到2000名。通过努力，使我校在校学生跨学科辅修第二专业人数达</w:t>
      </w:r>
      <w:r>
        <w:rPr>
          <w:rFonts w:hint="eastAsia" w:ascii="楷体" w:hAnsi="楷体" w:eastAsia="楷体" w:cs="楷体"/>
          <w:lang w:val="en-US" w:eastAsia="zh-CN"/>
        </w:rPr>
        <w:t>10</w:t>
      </w:r>
      <w:r>
        <w:rPr>
          <w:rFonts w:hint="eastAsia" w:ascii="楷体" w:hAnsi="楷体" w:eastAsia="楷体" w:cs="楷体"/>
        </w:rPr>
        <w:t>% 以上，应届本科毕业生考研录取率达到</w:t>
      </w:r>
      <w:r>
        <w:rPr>
          <w:rFonts w:hint="eastAsia" w:ascii="楷体" w:hAnsi="楷体" w:eastAsia="楷体" w:cs="楷体"/>
          <w:lang w:val="en-US" w:eastAsia="zh-CN"/>
        </w:rPr>
        <w:t>30</w:t>
      </w:r>
      <w:r>
        <w:rPr>
          <w:rFonts w:hint="eastAsia" w:ascii="楷体" w:hAnsi="楷体" w:eastAsia="楷体" w:cs="楷体"/>
        </w:rPr>
        <w:t>%。2015至2020年，完成省级以上教研立项</w:t>
      </w:r>
      <w:r>
        <w:rPr>
          <w:rFonts w:hint="eastAsia" w:ascii="楷体" w:hAnsi="楷体" w:eastAsia="楷体" w:cs="楷体"/>
          <w:lang w:val="en-US" w:eastAsia="zh-CN"/>
        </w:rPr>
        <w:t>12</w:t>
      </w:r>
      <w:r>
        <w:rPr>
          <w:rFonts w:hint="eastAsia" w:ascii="楷体" w:hAnsi="楷体" w:eastAsia="楷体" w:cs="楷体"/>
        </w:rPr>
        <w:t>0项，每年完成校级教研立项80项。2017年，获得国家级教学成果奖2</w:t>
      </w:r>
      <w:r>
        <w:rPr>
          <w:rFonts w:hint="eastAsia" w:ascii="楷体" w:hAnsi="楷体" w:eastAsia="楷体" w:cs="楷体"/>
          <w:lang w:val="en-US" w:eastAsia="zh-CN"/>
        </w:rPr>
        <w:t>-4</w:t>
      </w:r>
      <w:r>
        <w:rPr>
          <w:rFonts w:hint="eastAsia" w:ascii="楷体" w:hAnsi="楷体" w:eastAsia="楷体" w:cs="楷体"/>
        </w:rPr>
        <w:t>项，省级教学成果奖2</w:t>
      </w:r>
      <w:r>
        <w:rPr>
          <w:rFonts w:hint="eastAsia" w:ascii="楷体" w:hAnsi="楷体" w:eastAsia="楷体" w:cs="楷体"/>
          <w:lang w:val="en-US" w:eastAsia="zh-CN"/>
        </w:rPr>
        <w:t>0</w:t>
      </w:r>
      <w:r>
        <w:rPr>
          <w:rFonts w:hint="eastAsia" w:ascii="楷体" w:hAnsi="楷体" w:eastAsia="楷体" w:cs="楷体"/>
        </w:rPr>
        <w:t>项</w:t>
      </w:r>
      <w:r>
        <w:rPr>
          <w:rFonts w:hint="eastAsia" w:ascii="楷体" w:hAnsi="楷体" w:eastAsia="楷体" w:cs="楷体"/>
          <w:lang w:eastAsia="zh-CN"/>
        </w:rPr>
        <w:t>。</w:t>
      </w:r>
    </w:p>
    <w:p>
      <w:pPr>
        <w:pStyle w:val="6"/>
        <w:numPr>
          <w:ilvl w:val="0"/>
          <w:numId w:val="4"/>
        </w:numPr>
        <w:tabs>
          <w:tab w:val="left" w:pos="840"/>
        </w:tabs>
        <w:ind w:left="425" w:leftChars="0" w:firstLine="135" w:firstLineChars="0"/>
        <w:rPr>
          <w:rFonts w:hint="eastAsia"/>
          <w:lang w:val="en-US" w:eastAsia="zh-CN"/>
        </w:rPr>
      </w:pPr>
      <w:r>
        <w:rPr>
          <w:rFonts w:hint="eastAsia"/>
          <w:lang w:val="en-US" w:eastAsia="zh-CN"/>
        </w:rPr>
        <w:t>优质教学资源建设工程</w:t>
      </w:r>
    </w:p>
    <w:p>
      <w:pPr>
        <w:rPr>
          <w:rFonts w:hint="eastAsia" w:ascii="楷体" w:hAnsi="楷体" w:eastAsia="楷体" w:cs="楷体"/>
        </w:rPr>
      </w:pPr>
      <w:r>
        <w:rPr>
          <w:rFonts w:hint="eastAsia" w:ascii="楷体" w:hAnsi="楷体" w:eastAsia="楷体" w:cs="楷体"/>
        </w:rPr>
        <w:t>建设15门国家</w:t>
      </w:r>
      <w:r>
        <w:rPr>
          <w:rFonts w:hint="eastAsia" w:ascii="楷体" w:hAnsi="楷体" w:eastAsia="楷体" w:cs="楷体"/>
          <w:lang w:eastAsia="zh-CN"/>
        </w:rPr>
        <w:t>精品</w:t>
      </w:r>
      <w:r>
        <w:rPr>
          <w:rFonts w:hint="eastAsia" w:ascii="楷体" w:hAnsi="楷体" w:eastAsia="楷体" w:cs="楷体"/>
        </w:rPr>
        <w:t>开放课程</w:t>
      </w:r>
      <w:r>
        <w:rPr>
          <w:rFonts w:hint="eastAsia" w:ascii="楷体" w:hAnsi="楷体" w:eastAsia="楷体" w:cs="楷体"/>
          <w:lang w:eastAsia="zh-CN"/>
        </w:rPr>
        <w:t>，</w:t>
      </w:r>
      <w:r>
        <w:rPr>
          <w:rFonts w:hint="eastAsia" w:ascii="楷体" w:hAnsi="楷体" w:eastAsia="楷体" w:cs="楷体"/>
        </w:rPr>
        <w:t>每年按照国家级标准建设校级精品开放课程20</w:t>
      </w:r>
      <w:r>
        <w:rPr>
          <w:rFonts w:hint="eastAsia" w:ascii="楷体" w:hAnsi="楷体" w:eastAsia="楷体" w:cs="楷体"/>
          <w:lang w:val="en-US" w:eastAsia="zh-CN"/>
        </w:rPr>
        <w:t>0</w:t>
      </w:r>
      <w:r>
        <w:rPr>
          <w:rFonts w:hint="eastAsia" w:ascii="楷体" w:hAnsi="楷体" w:eastAsia="楷体" w:cs="楷体"/>
        </w:rPr>
        <w:t>门，每年新增省级精品</w:t>
      </w:r>
      <w:r>
        <w:rPr>
          <w:rFonts w:hint="eastAsia" w:ascii="楷体" w:hAnsi="楷体" w:eastAsia="楷体" w:cs="楷体"/>
          <w:lang w:eastAsia="zh-CN"/>
        </w:rPr>
        <w:t>开放</w:t>
      </w:r>
      <w:r>
        <w:rPr>
          <w:rFonts w:hint="eastAsia" w:ascii="楷体" w:hAnsi="楷体" w:eastAsia="楷体" w:cs="楷体"/>
        </w:rPr>
        <w:t>课程2门；</w:t>
      </w:r>
      <w:r>
        <w:rPr>
          <w:rFonts w:hint="eastAsia" w:ascii="楷体" w:hAnsi="楷体" w:eastAsia="楷体" w:cs="楷体"/>
          <w:lang w:val="en-US" w:eastAsia="zh-CN"/>
        </w:rPr>
        <w:t>2020年，信息化课程建设</w:t>
      </w:r>
      <w:r>
        <w:rPr>
          <w:rFonts w:hint="eastAsia" w:ascii="楷体" w:hAnsi="楷体" w:eastAsia="楷体" w:cs="楷体"/>
        </w:rPr>
        <w:t>达到</w:t>
      </w:r>
      <w:r>
        <w:rPr>
          <w:rFonts w:hint="eastAsia" w:ascii="楷体" w:hAnsi="楷体" w:eastAsia="楷体" w:cs="楷体"/>
          <w:lang w:val="en-US" w:eastAsia="zh-CN"/>
        </w:rPr>
        <w:t>1000</w:t>
      </w:r>
      <w:r>
        <w:rPr>
          <w:rFonts w:hint="eastAsia" w:ascii="楷体" w:hAnsi="楷体" w:eastAsia="楷体" w:cs="楷体"/>
        </w:rPr>
        <w:t>门，实现全部学生的在线学习。建设创新创业专门课程群10个。</w:t>
      </w:r>
    </w:p>
    <w:p>
      <w:pPr>
        <w:pStyle w:val="6"/>
        <w:numPr>
          <w:ilvl w:val="0"/>
          <w:numId w:val="4"/>
        </w:numPr>
        <w:tabs>
          <w:tab w:val="left" w:pos="840"/>
        </w:tabs>
        <w:ind w:left="425" w:leftChars="0" w:firstLine="135" w:firstLineChars="0"/>
        <w:rPr>
          <w:rFonts w:hint="eastAsia"/>
          <w:lang w:val="en-US" w:eastAsia="zh-CN"/>
        </w:rPr>
      </w:pPr>
      <w:r>
        <w:rPr>
          <w:rFonts w:hint="eastAsia"/>
          <w:lang w:val="en-US" w:eastAsia="zh-CN"/>
        </w:rPr>
        <w:t>实践教学效果提升工程</w:t>
      </w:r>
    </w:p>
    <w:p>
      <w:pPr>
        <w:rPr>
          <w:rFonts w:hint="eastAsia" w:ascii="楷体" w:hAnsi="楷体" w:eastAsia="楷体" w:cs="楷体"/>
          <w:lang w:val="en-US" w:eastAsia="zh-CN"/>
        </w:rPr>
      </w:pPr>
      <w:r>
        <w:rPr>
          <w:rFonts w:hint="eastAsia" w:ascii="楷体" w:hAnsi="楷体" w:eastAsia="楷体" w:cs="楷体"/>
        </w:rPr>
        <w:t>到2020年</w:t>
      </w:r>
      <w:r>
        <w:rPr>
          <w:rFonts w:hint="eastAsia" w:ascii="楷体" w:hAnsi="楷体" w:eastAsia="楷体" w:cs="楷体"/>
          <w:lang w:eastAsia="zh-CN"/>
        </w:rPr>
        <w:t>，建设</w:t>
      </w:r>
      <w:r>
        <w:rPr>
          <w:rFonts w:hint="eastAsia" w:ascii="楷体" w:hAnsi="楷体" w:eastAsia="楷体" w:cs="楷体"/>
        </w:rPr>
        <w:t>30个工程实践教育基地</w:t>
      </w:r>
      <w:r>
        <w:rPr>
          <w:rFonts w:hint="eastAsia" w:ascii="楷体" w:hAnsi="楷体" w:eastAsia="楷体" w:cs="楷体"/>
          <w:lang w:eastAsia="zh-CN"/>
        </w:rPr>
        <w:t>，</w:t>
      </w:r>
      <w:r>
        <w:rPr>
          <w:rFonts w:hint="eastAsia" w:ascii="楷体" w:hAnsi="楷体" w:eastAsia="楷体" w:cs="楷体"/>
          <w:lang w:val="en-US" w:eastAsia="zh-CN"/>
        </w:rPr>
        <w:t>建设10个校内实验实训综合平台。</w:t>
      </w:r>
    </w:p>
    <w:p>
      <w:pPr>
        <w:pStyle w:val="6"/>
        <w:numPr>
          <w:ilvl w:val="0"/>
          <w:numId w:val="4"/>
        </w:numPr>
        <w:tabs>
          <w:tab w:val="left" w:pos="840"/>
          <w:tab w:val="clear" w:pos="425"/>
        </w:tabs>
        <w:ind w:left="560" w:leftChars="0" w:firstLine="0" w:firstLineChars="0"/>
        <w:rPr>
          <w:rFonts w:hint="eastAsia"/>
          <w:lang w:val="en-US" w:eastAsia="zh-CN"/>
        </w:rPr>
      </w:pPr>
      <w:r>
        <w:rPr>
          <w:rFonts w:hint="eastAsia"/>
          <w:lang w:val="en-US" w:eastAsia="zh-CN"/>
        </w:rPr>
        <w:t>国际化人才培养工程</w:t>
      </w:r>
    </w:p>
    <w:p>
      <w:pPr>
        <w:rPr>
          <w:rFonts w:hint="eastAsia" w:ascii="楷体" w:hAnsi="楷体" w:eastAsia="楷体" w:cs="楷体"/>
          <w:lang w:val="en-US" w:eastAsia="zh-CN"/>
        </w:rPr>
      </w:pPr>
      <w:r>
        <w:rPr>
          <w:rFonts w:hint="eastAsia" w:ascii="楷体" w:hAnsi="楷体" w:eastAsia="楷体" w:cs="楷体"/>
          <w:lang w:val="en-US" w:eastAsia="zh-CN"/>
        </w:rPr>
        <w:t>到2018年，专业优势明显、基础好的相关专业，具有海外交流经历的学生比例达到10%，其他专业达到5%；到2020年，专业优势明显、基础好的相关专业，具有海外交流经历的学生比例达到20%，其他专业达到10%。</w:t>
      </w:r>
    </w:p>
    <w:p>
      <w:pPr>
        <w:pStyle w:val="6"/>
        <w:numPr>
          <w:ilvl w:val="0"/>
          <w:numId w:val="4"/>
        </w:numPr>
        <w:tabs>
          <w:tab w:val="left" w:pos="840"/>
          <w:tab w:val="clear" w:pos="425"/>
        </w:tabs>
        <w:ind w:left="560" w:leftChars="0" w:firstLine="0" w:firstLineChars="0"/>
        <w:rPr>
          <w:rFonts w:hint="eastAsia"/>
          <w:lang w:val="en-US" w:eastAsia="zh-CN"/>
        </w:rPr>
      </w:pPr>
      <w:r>
        <w:rPr>
          <w:rFonts w:hint="eastAsia"/>
          <w:lang w:val="en-US" w:eastAsia="zh-CN"/>
        </w:rPr>
        <w:t>人才培养体制机制改革</w:t>
      </w:r>
    </w:p>
    <w:p>
      <w:pPr>
        <w:rPr>
          <w:rFonts w:hint="eastAsia" w:ascii="楷体" w:hAnsi="楷体" w:eastAsia="楷体" w:cs="楷体"/>
        </w:rPr>
      </w:pPr>
      <w:r>
        <w:rPr>
          <w:rFonts w:hint="eastAsia" w:ascii="楷体" w:hAnsi="楷体" w:eastAsia="楷体" w:cs="楷体"/>
        </w:rPr>
        <w:t>建设材料科学与工程国际化示范学院</w:t>
      </w:r>
      <w:r>
        <w:rPr>
          <w:rFonts w:hint="eastAsia" w:ascii="楷体" w:hAnsi="楷体" w:eastAsia="楷体" w:cs="楷体"/>
          <w:lang w:eastAsia="zh-CN"/>
        </w:rPr>
        <w:t>，</w:t>
      </w:r>
      <w:r>
        <w:rPr>
          <w:rFonts w:hint="eastAsia" w:ascii="楷体" w:hAnsi="楷体" w:eastAsia="楷体" w:cs="楷体"/>
          <w:lang w:val="en-US" w:eastAsia="zh-CN"/>
        </w:rPr>
        <w:t>到2020年，建成</w:t>
      </w:r>
      <w:r>
        <w:rPr>
          <w:rFonts w:hint="eastAsia" w:ascii="楷体" w:hAnsi="楷体" w:eastAsia="楷体" w:cs="楷体"/>
        </w:rPr>
        <w:t>先进制造与信息化国际化试点学院</w:t>
      </w:r>
      <w:r>
        <w:rPr>
          <w:rFonts w:hint="eastAsia" w:ascii="楷体" w:hAnsi="楷体" w:eastAsia="楷体" w:cs="楷体"/>
          <w:lang w:eastAsia="zh-CN"/>
        </w:rPr>
        <w:t>。</w:t>
      </w:r>
    </w:p>
    <w:p>
      <w:pPr>
        <w:pStyle w:val="6"/>
        <w:numPr>
          <w:ilvl w:val="0"/>
          <w:numId w:val="4"/>
        </w:numPr>
        <w:tabs>
          <w:tab w:val="left" w:pos="840"/>
          <w:tab w:val="clear" w:pos="425"/>
        </w:tabs>
        <w:ind w:left="560" w:leftChars="0" w:firstLine="0" w:firstLineChars="0"/>
        <w:rPr>
          <w:rFonts w:hint="eastAsia"/>
          <w:lang w:val="en-US" w:eastAsia="zh-CN"/>
        </w:rPr>
      </w:pPr>
      <w:r>
        <w:rPr>
          <w:rFonts w:hint="eastAsia"/>
          <w:lang w:val="en-US" w:eastAsia="zh-CN"/>
        </w:rPr>
        <w:t>教学质量监控体系建设</w:t>
      </w:r>
    </w:p>
    <w:p>
      <w:pPr>
        <w:rPr>
          <w:rFonts w:hint="eastAsia" w:ascii="楷体" w:hAnsi="楷体" w:eastAsia="楷体" w:cs="楷体"/>
          <w:lang w:val="en-US" w:eastAsia="zh-CN"/>
        </w:rPr>
      </w:pPr>
      <w:r>
        <w:rPr>
          <w:rFonts w:hint="eastAsia" w:ascii="楷体" w:hAnsi="楷体" w:eastAsia="楷体" w:cs="楷体"/>
          <w:lang w:val="en-US" w:eastAsia="zh-CN"/>
        </w:rPr>
        <w:t>至2020年，实行全部教师教学能力公开。</w:t>
      </w:r>
    </w:p>
    <w:p>
      <w:pPr>
        <w:ind w:firstLine="0" w:firstLineChars="0"/>
        <w:rPr>
          <w:rFonts w:hint="eastAsia" w:ascii="楷体" w:hAnsi="楷体" w:eastAsia="楷体" w:cs="楷体"/>
          <w:lang w:val="en-US" w:eastAsia="zh-CN"/>
        </w:rPr>
      </w:pPr>
    </w:p>
    <w:p>
      <w:pPr>
        <w:ind w:firstLine="0" w:firstLineChars="0"/>
        <w:rPr>
          <w:rFonts w:hint="eastAsia" w:ascii="楷体" w:hAnsi="楷体" w:eastAsia="楷体" w:cs="楷体"/>
          <w:lang w:val="en-US" w:eastAsia="zh-CN"/>
        </w:rPr>
        <w:sectPr>
          <w:headerReference r:id="rId3" w:type="default"/>
          <w:footerReference r:id="rId4" w:type="default"/>
          <w:pgSz w:w="11906" w:h="16838"/>
          <w:pgMar w:top="1440" w:right="1800" w:bottom="1440" w:left="1800" w:header="0" w:footer="0" w:gutter="0"/>
          <w:pgNumType w:fmt="decimal" w:start="1"/>
          <w:cols w:space="720" w:num="1"/>
          <w:docGrid w:type="lines" w:linePitch="381" w:charSpace="0"/>
        </w:sectPr>
      </w:pPr>
    </w:p>
    <w:p>
      <w:pPr>
        <w:ind w:left="0" w:leftChars="0" w:firstLine="0" w:firstLineChars="0"/>
        <w:jc w:val="cente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“十三五”卓越人才培养工程核心指标一览表</w:t>
      </w:r>
    </w:p>
    <w:tbl>
      <w:tblPr>
        <w:tblStyle w:val="2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5232"/>
        <w:gridCol w:w="1893"/>
        <w:gridCol w:w="2484"/>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Align w:val="top"/>
          </w:tcPr>
          <w:p>
            <w:pPr>
              <w:spacing w:before="0" w:beforeAutospacing="0" w:after="0" w:afterAutospacing="0" w:line="240" w:lineRule="auto"/>
              <w:ind w:left="0" w:leftChars="0" w:right="0" w:firstLine="0" w:firstLineChars="0"/>
              <w:jc w:val="center"/>
              <w:rPr>
                <w:rFonts w:hint="eastAsia" w:ascii="楷体" w:hAnsi="楷体" w:eastAsia="楷体" w:cs="楷体"/>
                <w:sz w:val="21"/>
                <w:szCs w:val="21"/>
                <w:lang w:val="en-US" w:eastAsia="zh-CN"/>
              </w:rPr>
            </w:pPr>
            <w:r>
              <w:rPr>
                <w:rFonts w:hint="eastAsia" w:ascii="微软雅黑" w:hAnsi="微软雅黑" w:eastAsia="微软雅黑" w:cs="微软雅黑"/>
                <w:sz w:val="22"/>
                <w:szCs w:val="22"/>
                <w:lang w:val="en-US" w:eastAsia="zh-CN"/>
              </w:rPr>
              <w:t>卓越人才培养工程</w:t>
            </w:r>
          </w:p>
        </w:tc>
        <w:tc>
          <w:tcPr>
            <w:tcW w:w="5232" w:type="dxa"/>
            <w:vAlign w:val="top"/>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建设内容</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指标数</w:t>
            </w:r>
          </w:p>
        </w:tc>
        <w:tc>
          <w:tcPr>
            <w:tcW w:w="2484" w:type="dxa"/>
            <w:vAlign w:val="top"/>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牵头单位</w:t>
            </w:r>
          </w:p>
        </w:tc>
        <w:tc>
          <w:tcPr>
            <w:tcW w:w="1565" w:type="dxa"/>
            <w:vAlign w:val="top"/>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restart"/>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bookmarkStart w:id="85" w:name="OLE_LINK4" w:colFirst="0" w:colLast="0"/>
            <w:r>
              <w:rPr>
                <w:rFonts w:hint="eastAsia" w:ascii="微软雅黑" w:hAnsi="微软雅黑" w:eastAsia="微软雅黑" w:cs="微软雅黑"/>
                <w:sz w:val="24"/>
                <w:szCs w:val="24"/>
                <w:lang w:val="en-US" w:eastAsia="zh-CN"/>
              </w:rPr>
              <w:t>创新创业教育工程</w:t>
            </w: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大学生创业梦工厂</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10个</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top"/>
          </w:tcPr>
          <w:p>
            <w:pPr>
              <w:spacing w:before="0" w:beforeAutospacing="0" w:after="0" w:afterAutospacing="0" w:line="240" w:lineRule="auto"/>
              <w:ind w:left="0" w:leftChars="0" w:right="0" w:firstLine="0" w:firstLineChars="0"/>
              <w:rPr>
                <w:rFonts w:hint="eastAsia" w:ascii="微软雅黑" w:hAnsi="微软雅黑" w:eastAsia="微软雅黑" w:cs="微软雅黑"/>
                <w:sz w:val="24"/>
                <w:szCs w:val="24"/>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大学生创新创业团队</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r>
              <w:rPr>
                <w:rFonts w:hint="eastAsia" w:ascii="楷体" w:hAnsi="楷体" w:eastAsia="楷体" w:cs="楷体"/>
                <w:lang w:val="en-US" w:eastAsia="zh-CN"/>
              </w:rPr>
              <w:t>500个</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top"/>
          </w:tcPr>
          <w:p>
            <w:pPr>
              <w:spacing w:before="0" w:beforeAutospacing="0" w:after="0" w:afterAutospacing="0" w:line="240" w:lineRule="auto"/>
              <w:ind w:left="0" w:leftChars="0" w:right="0" w:firstLine="0" w:firstLineChars="0"/>
              <w:rPr>
                <w:rFonts w:hint="eastAsia" w:ascii="微软雅黑" w:hAnsi="微软雅黑" w:eastAsia="微软雅黑" w:cs="微软雅黑"/>
                <w:sz w:val="24"/>
                <w:szCs w:val="24"/>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创新创业人数</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5000人</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top"/>
          </w:tcPr>
          <w:p>
            <w:pPr>
              <w:spacing w:before="0" w:beforeAutospacing="0" w:after="0" w:afterAutospacing="0" w:line="240" w:lineRule="auto"/>
              <w:ind w:left="0" w:leftChars="0" w:right="0" w:firstLine="0" w:firstLineChars="0"/>
              <w:rPr>
                <w:rFonts w:hint="eastAsia" w:ascii="微软雅黑" w:hAnsi="微软雅黑" w:eastAsia="微软雅黑" w:cs="微软雅黑"/>
                <w:sz w:val="24"/>
                <w:szCs w:val="24"/>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bookmarkStart w:id="86" w:name="OLE_LINK1"/>
            <w:r>
              <w:rPr>
                <w:rFonts w:hint="eastAsia" w:ascii="楷体" w:hAnsi="楷体" w:eastAsia="楷体" w:cs="楷体"/>
                <w:sz w:val="21"/>
                <w:szCs w:val="21"/>
                <w:lang w:val="en-US" w:eastAsia="zh-CN"/>
              </w:rPr>
              <w:t>获省部级以上创新创业竞赛奖励或国家发明专利</w:t>
            </w:r>
            <w:bookmarkEnd w:id="86"/>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r>
              <w:rPr>
                <w:rFonts w:hint="eastAsia" w:ascii="楷体" w:hAnsi="楷体" w:eastAsia="楷体" w:cs="楷体"/>
                <w:sz w:val="21"/>
                <w:szCs w:val="21"/>
                <w:lang w:val="en-US" w:eastAsia="zh-CN"/>
              </w:rPr>
              <w:t>2000项</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bookmarkEnd w:id="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3000" w:type="dxa"/>
            <w:vMerge w:val="restart"/>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一流专业建设工程</w:t>
            </w: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在校学生跨学科辅修第二专业人数</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10%以上</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应届本科毕业生考研录取率</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25%</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省级以上教研立项</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120项</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获得国家级教学成果奖</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2-4项</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省级教学成果奖</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20项</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特色专业进入全国专业排名</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前10名</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淘汰全国高校专业排名后50%的专业</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专业通过国家工程专业认证</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20个</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特色专业建设团队</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50个</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课程教学团队200个</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00个</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新增国家重点建设专业</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5个</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restart"/>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优质教学资源建设工程</w:t>
            </w: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国家精品开放课程</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15门</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按照国家级标准建设校级在线开放课程</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0</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门</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省级精品开放课程</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门</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创新创业专门课程群</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10个</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restart"/>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实践教学效果提升工程</w:t>
            </w: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工程实践教育基地</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30个</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Merge w:val="continue"/>
            <w:vAlign w:val="center"/>
          </w:tcPr>
          <w:p>
            <w:pPr>
              <w:spacing w:before="0" w:beforeAutospacing="0" w:after="0" w:afterAutospacing="0" w:line="240" w:lineRule="auto"/>
              <w:ind w:left="0" w:leftChars="0" w:right="0" w:firstLine="0" w:firstLineChars="0"/>
              <w:jc w:val="center"/>
              <w:rPr>
                <w:rFonts w:hint="eastAsia" w:ascii="楷体" w:hAnsi="楷体" w:eastAsia="楷体" w:cs="楷体"/>
                <w:sz w:val="21"/>
                <w:szCs w:val="21"/>
                <w:lang w:val="en-US" w:eastAsia="zh-CN"/>
              </w:rPr>
            </w:pPr>
          </w:p>
        </w:tc>
        <w:tc>
          <w:tcPr>
            <w:tcW w:w="5232"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校内实验实训综合平台</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10个</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Align w:val="center"/>
          </w:tcPr>
          <w:p>
            <w:pPr>
              <w:spacing w:before="0" w:beforeAutospacing="0" w:after="0" w:afterAutospacing="0" w:line="240" w:lineRule="auto"/>
              <w:ind w:left="0" w:leftChars="0" w:right="0" w:firstLine="0" w:firstLineChars="0"/>
              <w:jc w:val="center"/>
              <w:rPr>
                <w:rFonts w:hint="eastAsia" w:ascii="楷体" w:hAnsi="楷体" w:eastAsia="楷体" w:cs="楷体"/>
                <w:sz w:val="21"/>
                <w:szCs w:val="21"/>
                <w:lang w:val="en-US" w:eastAsia="zh-CN"/>
              </w:rPr>
            </w:pPr>
            <w:r>
              <w:rPr>
                <w:rFonts w:hint="eastAsia" w:ascii="微软雅黑" w:hAnsi="微软雅黑" w:eastAsia="微软雅黑" w:cs="微软雅黑"/>
                <w:sz w:val="24"/>
                <w:szCs w:val="24"/>
                <w:lang w:val="en-US" w:eastAsia="zh-CN"/>
              </w:rPr>
              <w:t>国际化人才培养工程</w:t>
            </w:r>
          </w:p>
        </w:tc>
        <w:tc>
          <w:tcPr>
            <w:tcW w:w="5232" w:type="dxa"/>
            <w:vAlign w:val="center"/>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具有海外交流经历的学生比例</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10-20%</w:t>
            </w: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人才培养体制机制改革</w:t>
            </w:r>
          </w:p>
        </w:tc>
        <w:tc>
          <w:tcPr>
            <w:tcW w:w="5232" w:type="dxa"/>
            <w:vAlign w:val="center"/>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rPr>
              <w:t>建设材料科学与工程国际化示范学院</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到2020年，建成</w:t>
            </w:r>
            <w:r>
              <w:rPr>
                <w:rFonts w:hint="eastAsia" w:ascii="楷体" w:hAnsi="楷体" w:eastAsia="楷体" w:cs="楷体"/>
                <w:sz w:val="21"/>
                <w:szCs w:val="21"/>
              </w:rPr>
              <w:t>先进制造与信息化国际化试点学院</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00"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教学质量监控体系建设</w:t>
            </w:r>
          </w:p>
        </w:tc>
        <w:tc>
          <w:tcPr>
            <w:tcW w:w="5232" w:type="dxa"/>
            <w:vAlign w:val="center"/>
          </w:tcPr>
          <w:p>
            <w:pPr>
              <w:spacing w:before="0" w:beforeAutospacing="0" w:after="0" w:afterAutospacing="0" w:line="240" w:lineRule="auto"/>
              <w:ind w:left="0" w:leftChars="0" w:right="0" w:firstLine="0" w:firstLineChars="0"/>
              <w:rPr>
                <w:rFonts w:hint="eastAsia" w:ascii="楷体" w:hAnsi="楷体" w:eastAsia="楷体" w:cs="楷体"/>
                <w:sz w:val="21"/>
                <w:szCs w:val="21"/>
              </w:rPr>
            </w:pPr>
            <w:r>
              <w:rPr>
                <w:rFonts w:hint="eastAsia" w:ascii="楷体" w:hAnsi="楷体" w:eastAsia="楷体" w:cs="楷体"/>
                <w:sz w:val="21"/>
                <w:szCs w:val="21"/>
                <w:lang w:val="en-US" w:eastAsia="zh-CN"/>
              </w:rPr>
              <w:t>实行全部教师教学能力公开</w:t>
            </w:r>
          </w:p>
        </w:tc>
        <w:tc>
          <w:tcPr>
            <w:tcW w:w="1893" w:type="dxa"/>
            <w:vAlign w:val="center"/>
          </w:tcPr>
          <w:p>
            <w:pPr>
              <w:spacing w:before="0" w:beforeAutospacing="0" w:after="0" w:afterAutospacing="0" w:line="240" w:lineRule="auto"/>
              <w:ind w:left="0" w:leftChars="0" w:right="0" w:firstLine="0" w:firstLineChars="0"/>
              <w:jc w:val="center"/>
              <w:rPr>
                <w:rFonts w:hint="eastAsia" w:ascii="微软雅黑" w:hAnsi="微软雅黑" w:eastAsia="微软雅黑" w:cs="微软雅黑"/>
                <w:sz w:val="21"/>
                <w:szCs w:val="21"/>
                <w:lang w:val="en-US" w:eastAsia="zh-CN"/>
              </w:rPr>
            </w:pPr>
          </w:p>
        </w:tc>
        <w:tc>
          <w:tcPr>
            <w:tcW w:w="2484"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c>
          <w:tcPr>
            <w:tcW w:w="1565" w:type="dxa"/>
            <w:vAlign w:val="top"/>
          </w:tcPr>
          <w:p>
            <w:pPr>
              <w:spacing w:before="0" w:beforeAutospacing="0" w:after="0" w:afterAutospacing="0" w:line="240" w:lineRule="auto"/>
              <w:ind w:left="0" w:leftChars="0" w:right="0" w:firstLine="0" w:firstLineChars="0"/>
              <w:rPr>
                <w:rFonts w:hint="eastAsia" w:ascii="楷体" w:hAnsi="楷体" w:eastAsia="楷体" w:cs="楷体"/>
                <w:sz w:val="21"/>
                <w:szCs w:val="21"/>
                <w:lang w:val="en-US" w:eastAsia="zh-CN"/>
              </w:rPr>
            </w:pPr>
          </w:p>
        </w:tc>
      </w:tr>
    </w:tbl>
    <w:p>
      <w:pPr>
        <w:ind w:left="0" w:leftChars="0" w:firstLine="0" w:firstLineChars="0"/>
        <w:rPr>
          <w:rFonts w:hint="eastAsia" w:ascii="楷体" w:hAnsi="楷体" w:eastAsia="楷体" w:cs="楷体"/>
          <w:lang w:val="en-US" w:eastAsia="zh-CN"/>
        </w:rPr>
      </w:pPr>
    </w:p>
    <w:p/>
    <w:sectPr>
      <w:type w:val="continuous"/>
      <w:pgSz w:w="16838" w:h="11906" w:orient="landscape"/>
      <w:pgMar w:top="1240" w:right="1440" w:bottom="1110" w:left="1440" w:header="0" w:footer="0" w:gutter="0"/>
      <w:pgNumType w:fmt="decimal"/>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方正大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SimSun,Tahoma">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leader="dot" w:pos="8400"/>
      </w:tabs>
      <w:ind w:firstLine="360"/>
      <w:jc w:val="center"/>
    </w:pPr>
  </w:p>
  <w:p>
    <w:pPr>
      <w:pStyle w:val="14"/>
      <w:tabs>
        <w:tab w:val="center" w:leader="dot" w:pos="8400"/>
      </w:tabs>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4"/>
      </w:pBdr>
      <w:tabs>
        <w:tab w:val="left" w:pos="3569"/>
        <w:tab w:val="center" w:pos="4253"/>
        <w:tab w:val="center" w:leader="dot" w:pos="8400"/>
        <w:tab w:val="clear" w:pos="4153"/>
        <w:tab w:val="clear" w:pos="8306"/>
      </w:tabs>
      <w:ind w:firstLine="360"/>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31319"/>
    <w:multiLevelType w:val="singleLevel"/>
    <w:tmpl w:val="55A31319"/>
    <w:lvl w:ilvl="0" w:tentative="0">
      <w:start w:val="2"/>
      <w:numFmt w:val="decimal"/>
      <w:suff w:val="nothing"/>
      <w:lvlText w:val="%1."/>
      <w:lvlJc w:val="left"/>
    </w:lvl>
  </w:abstractNum>
  <w:abstractNum w:abstractNumId="1">
    <w:nsid w:val="55A7101B"/>
    <w:multiLevelType w:val="multilevel"/>
    <w:tmpl w:val="55A7101B"/>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
    <w:nsid w:val="55A86956"/>
    <w:multiLevelType w:val="singleLevel"/>
    <w:tmpl w:val="55A86956"/>
    <w:lvl w:ilvl="0" w:tentative="0">
      <w:start w:val="3"/>
      <w:numFmt w:val="chineseCounting"/>
      <w:suff w:val="nothing"/>
      <w:lvlText w:val="%1、"/>
      <w:lvlJc w:val="left"/>
    </w:lvl>
  </w:abstractNum>
  <w:abstractNum w:abstractNumId="3">
    <w:nsid w:val="55A8696E"/>
    <w:multiLevelType w:val="multilevel"/>
    <w:tmpl w:val="55A8696E"/>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val="1"/>
  <w:bordersDoNotSurroundHeader w:val="1"/>
  <w:bordersDoNotSurroundFooter w:val="1"/>
  <w:documentProtection w:enforcement="0"/>
  <w:defaultTabStop w:val="420"/>
  <w:drawingGridHorizontalSpacing w:val="140"/>
  <w:drawingGridVerticalSpacing w:val="3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1B"/>
    <w:rsid w:val="00010AD2"/>
    <w:rsid w:val="0001793F"/>
    <w:rsid w:val="00020251"/>
    <w:rsid w:val="0002696F"/>
    <w:rsid w:val="0003281A"/>
    <w:rsid w:val="00034F85"/>
    <w:rsid w:val="0007183E"/>
    <w:rsid w:val="00087DDE"/>
    <w:rsid w:val="00090084"/>
    <w:rsid w:val="000A1183"/>
    <w:rsid w:val="000A254F"/>
    <w:rsid w:val="000B0CA1"/>
    <w:rsid w:val="000D04D2"/>
    <w:rsid w:val="000D7D06"/>
    <w:rsid w:val="000E1500"/>
    <w:rsid w:val="000E27F4"/>
    <w:rsid w:val="000F2461"/>
    <w:rsid w:val="000F59CF"/>
    <w:rsid w:val="000F5F2F"/>
    <w:rsid w:val="000F6693"/>
    <w:rsid w:val="00105114"/>
    <w:rsid w:val="00122580"/>
    <w:rsid w:val="00130DC2"/>
    <w:rsid w:val="00132400"/>
    <w:rsid w:val="00133EB5"/>
    <w:rsid w:val="00144A80"/>
    <w:rsid w:val="00147B6B"/>
    <w:rsid w:val="00150944"/>
    <w:rsid w:val="00152A95"/>
    <w:rsid w:val="001550F9"/>
    <w:rsid w:val="00167C7E"/>
    <w:rsid w:val="001725E9"/>
    <w:rsid w:val="00175DF3"/>
    <w:rsid w:val="00175E58"/>
    <w:rsid w:val="00176C16"/>
    <w:rsid w:val="001B3AE9"/>
    <w:rsid w:val="001C0E6F"/>
    <w:rsid w:val="001C5543"/>
    <w:rsid w:val="001D0446"/>
    <w:rsid w:val="001D1F56"/>
    <w:rsid w:val="001E4EE2"/>
    <w:rsid w:val="001F1A58"/>
    <w:rsid w:val="001F56CF"/>
    <w:rsid w:val="00201CAD"/>
    <w:rsid w:val="00224F32"/>
    <w:rsid w:val="002269C7"/>
    <w:rsid w:val="002305B6"/>
    <w:rsid w:val="00247BB4"/>
    <w:rsid w:val="002504F7"/>
    <w:rsid w:val="00251007"/>
    <w:rsid w:val="00260AC0"/>
    <w:rsid w:val="002658C4"/>
    <w:rsid w:val="00270F4D"/>
    <w:rsid w:val="00281915"/>
    <w:rsid w:val="00281A1F"/>
    <w:rsid w:val="002A2B08"/>
    <w:rsid w:val="002B1A7E"/>
    <w:rsid w:val="002C19A5"/>
    <w:rsid w:val="002E14DF"/>
    <w:rsid w:val="002F4AE5"/>
    <w:rsid w:val="00300A18"/>
    <w:rsid w:val="00312F50"/>
    <w:rsid w:val="003208D9"/>
    <w:rsid w:val="00323EE4"/>
    <w:rsid w:val="0032798C"/>
    <w:rsid w:val="0038398E"/>
    <w:rsid w:val="00397010"/>
    <w:rsid w:val="003B3DBB"/>
    <w:rsid w:val="003C0854"/>
    <w:rsid w:val="003C6B81"/>
    <w:rsid w:val="003D64A5"/>
    <w:rsid w:val="004219BA"/>
    <w:rsid w:val="00460AC7"/>
    <w:rsid w:val="00460ECC"/>
    <w:rsid w:val="00464C80"/>
    <w:rsid w:val="004727C2"/>
    <w:rsid w:val="00481CD8"/>
    <w:rsid w:val="00487B2D"/>
    <w:rsid w:val="00493EB6"/>
    <w:rsid w:val="0049530B"/>
    <w:rsid w:val="004B0DFD"/>
    <w:rsid w:val="004B7537"/>
    <w:rsid w:val="004D4230"/>
    <w:rsid w:val="00520506"/>
    <w:rsid w:val="00540EF9"/>
    <w:rsid w:val="00547BA2"/>
    <w:rsid w:val="0055521B"/>
    <w:rsid w:val="00566A33"/>
    <w:rsid w:val="00574521"/>
    <w:rsid w:val="005747EC"/>
    <w:rsid w:val="005949FB"/>
    <w:rsid w:val="005A3FA4"/>
    <w:rsid w:val="005D29A6"/>
    <w:rsid w:val="006305EF"/>
    <w:rsid w:val="00664E94"/>
    <w:rsid w:val="0066514B"/>
    <w:rsid w:val="00677CD4"/>
    <w:rsid w:val="00687711"/>
    <w:rsid w:val="00694E00"/>
    <w:rsid w:val="006A4775"/>
    <w:rsid w:val="006C3691"/>
    <w:rsid w:val="006E2EEE"/>
    <w:rsid w:val="006F0AB9"/>
    <w:rsid w:val="007109E3"/>
    <w:rsid w:val="00720FFA"/>
    <w:rsid w:val="00735CD0"/>
    <w:rsid w:val="007640D9"/>
    <w:rsid w:val="00773261"/>
    <w:rsid w:val="00773311"/>
    <w:rsid w:val="00775FFC"/>
    <w:rsid w:val="00780ED1"/>
    <w:rsid w:val="007A57E1"/>
    <w:rsid w:val="007A66D2"/>
    <w:rsid w:val="007A7A97"/>
    <w:rsid w:val="007B03B0"/>
    <w:rsid w:val="007B4816"/>
    <w:rsid w:val="007E0BD0"/>
    <w:rsid w:val="007E77C9"/>
    <w:rsid w:val="007F7290"/>
    <w:rsid w:val="0080696E"/>
    <w:rsid w:val="008422AC"/>
    <w:rsid w:val="0085556F"/>
    <w:rsid w:val="00857AB4"/>
    <w:rsid w:val="008B22D1"/>
    <w:rsid w:val="008B4F6F"/>
    <w:rsid w:val="008C045E"/>
    <w:rsid w:val="008D1650"/>
    <w:rsid w:val="008E1937"/>
    <w:rsid w:val="008F23BD"/>
    <w:rsid w:val="00907F54"/>
    <w:rsid w:val="00921E74"/>
    <w:rsid w:val="0092382A"/>
    <w:rsid w:val="009255C0"/>
    <w:rsid w:val="00962434"/>
    <w:rsid w:val="00987EFA"/>
    <w:rsid w:val="00990E79"/>
    <w:rsid w:val="009A60A4"/>
    <w:rsid w:val="009B42EC"/>
    <w:rsid w:val="009C7275"/>
    <w:rsid w:val="009C7BCC"/>
    <w:rsid w:val="009D0B2A"/>
    <w:rsid w:val="009E10EE"/>
    <w:rsid w:val="009E319B"/>
    <w:rsid w:val="00A04A8A"/>
    <w:rsid w:val="00A12244"/>
    <w:rsid w:val="00A258C0"/>
    <w:rsid w:val="00A27C09"/>
    <w:rsid w:val="00A366AA"/>
    <w:rsid w:val="00A47CE7"/>
    <w:rsid w:val="00A910D0"/>
    <w:rsid w:val="00A978B1"/>
    <w:rsid w:val="00AB252A"/>
    <w:rsid w:val="00AB28A1"/>
    <w:rsid w:val="00AB499B"/>
    <w:rsid w:val="00AC36C7"/>
    <w:rsid w:val="00AC4DF0"/>
    <w:rsid w:val="00AD1141"/>
    <w:rsid w:val="00AE52A5"/>
    <w:rsid w:val="00B02BBA"/>
    <w:rsid w:val="00B33FF0"/>
    <w:rsid w:val="00B35ECF"/>
    <w:rsid w:val="00B63741"/>
    <w:rsid w:val="00B63752"/>
    <w:rsid w:val="00B71A51"/>
    <w:rsid w:val="00B76828"/>
    <w:rsid w:val="00B943DC"/>
    <w:rsid w:val="00BD4DAE"/>
    <w:rsid w:val="00BF0EC8"/>
    <w:rsid w:val="00BF179F"/>
    <w:rsid w:val="00BF655F"/>
    <w:rsid w:val="00C12101"/>
    <w:rsid w:val="00C20C1F"/>
    <w:rsid w:val="00C26DB2"/>
    <w:rsid w:val="00C42313"/>
    <w:rsid w:val="00C557B6"/>
    <w:rsid w:val="00C811FE"/>
    <w:rsid w:val="00C8517A"/>
    <w:rsid w:val="00C85883"/>
    <w:rsid w:val="00C879A2"/>
    <w:rsid w:val="00CA0C30"/>
    <w:rsid w:val="00CA3B50"/>
    <w:rsid w:val="00CA6E2F"/>
    <w:rsid w:val="00CD0901"/>
    <w:rsid w:val="00CF6B2D"/>
    <w:rsid w:val="00D1332D"/>
    <w:rsid w:val="00D21829"/>
    <w:rsid w:val="00D31426"/>
    <w:rsid w:val="00D36007"/>
    <w:rsid w:val="00D4691D"/>
    <w:rsid w:val="00D9125F"/>
    <w:rsid w:val="00DA5CD4"/>
    <w:rsid w:val="00DB072E"/>
    <w:rsid w:val="00DC6B40"/>
    <w:rsid w:val="00DD4DC6"/>
    <w:rsid w:val="00DD58DB"/>
    <w:rsid w:val="00DE3C25"/>
    <w:rsid w:val="00DF0130"/>
    <w:rsid w:val="00DF758E"/>
    <w:rsid w:val="00E372C8"/>
    <w:rsid w:val="00E42273"/>
    <w:rsid w:val="00E526D0"/>
    <w:rsid w:val="00E571D8"/>
    <w:rsid w:val="00E6049C"/>
    <w:rsid w:val="00E65C94"/>
    <w:rsid w:val="00E678D4"/>
    <w:rsid w:val="00E97A90"/>
    <w:rsid w:val="00EA4C4F"/>
    <w:rsid w:val="00EC70B8"/>
    <w:rsid w:val="00F01D4D"/>
    <w:rsid w:val="00F24AF8"/>
    <w:rsid w:val="00F37B74"/>
    <w:rsid w:val="00F41441"/>
    <w:rsid w:val="00F43D8B"/>
    <w:rsid w:val="00F7700E"/>
    <w:rsid w:val="00F80670"/>
    <w:rsid w:val="00F9531B"/>
    <w:rsid w:val="00F97521"/>
    <w:rsid w:val="00FA65FE"/>
    <w:rsid w:val="00FA77F1"/>
    <w:rsid w:val="00FB4F92"/>
    <w:rsid w:val="00FB6489"/>
    <w:rsid w:val="00FF685B"/>
    <w:rsid w:val="042943E6"/>
    <w:rsid w:val="05603B6D"/>
    <w:rsid w:val="07BF5A5C"/>
    <w:rsid w:val="1D735002"/>
    <w:rsid w:val="23C92570"/>
    <w:rsid w:val="251F105D"/>
    <w:rsid w:val="25E47B22"/>
    <w:rsid w:val="2AC2057B"/>
    <w:rsid w:val="2BF926E1"/>
    <w:rsid w:val="2BFF1608"/>
    <w:rsid w:val="2F8D723C"/>
    <w:rsid w:val="308B1401"/>
    <w:rsid w:val="329D6A1B"/>
    <w:rsid w:val="3F30650E"/>
    <w:rsid w:val="414C6F73"/>
    <w:rsid w:val="45916168"/>
    <w:rsid w:val="47240AFD"/>
    <w:rsid w:val="48033262"/>
    <w:rsid w:val="485C664B"/>
    <w:rsid w:val="4B2F4E1F"/>
    <w:rsid w:val="4CE73259"/>
    <w:rsid w:val="566807B9"/>
    <w:rsid w:val="572954FD"/>
    <w:rsid w:val="57461782"/>
    <w:rsid w:val="58064AFE"/>
    <w:rsid w:val="5A6B1E27"/>
    <w:rsid w:val="5DF029FE"/>
    <w:rsid w:val="5F295810"/>
    <w:rsid w:val="6431115C"/>
    <w:rsid w:val="696438B4"/>
    <w:rsid w:val="6A5924A0"/>
    <w:rsid w:val="6F1B295C"/>
    <w:rsid w:val="77300651"/>
    <w:rsid w:val="7A171BB1"/>
    <w:rsid w:val="7A1D1F1B"/>
    <w:rsid w:val="7A46041C"/>
    <w:rsid w:val="7DAD4EB4"/>
    <w:rsid w:val="7DFE404A"/>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uiPriority="39" w:semiHidden="0" w:name="toc 9"/>
    <w:lsdException w:uiPriority="0" w:name="Normal Indent"/>
    <w:lsdException w:uiPriority="0" w:name="footnote text"/>
    <w:lsdException w:uiPriority="0" w:name="annotation text"/>
    <w:lsdException w:qFormat="1"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center" w:leader="dot" w:pos="8400"/>
      </w:tabs>
      <w:spacing w:line="490" w:lineRule="exact"/>
      <w:ind w:firstLine="560" w:firstLineChars="200"/>
      <w:jc w:val="both"/>
    </w:pPr>
    <w:rPr>
      <w:rFonts w:ascii="仿宋" w:hAnsi="仿宋" w:eastAsia="仿宋" w:cs="黑体"/>
      <w:kern w:val="2"/>
      <w:sz w:val="28"/>
      <w:szCs w:val="28"/>
      <w:lang w:val="en-US" w:eastAsia="zh-CN" w:bidi="ar-SA"/>
    </w:rPr>
  </w:style>
  <w:style w:type="paragraph" w:styleId="2">
    <w:name w:val="heading 1"/>
    <w:basedOn w:val="1"/>
    <w:next w:val="1"/>
    <w:link w:val="35"/>
    <w:qFormat/>
    <w:uiPriority w:val="0"/>
    <w:pPr>
      <w:keepNext/>
      <w:keepLines/>
      <w:spacing w:before="340" w:after="330" w:line="578" w:lineRule="auto"/>
      <w:ind w:firstLine="643"/>
      <w:jc w:val="center"/>
      <w:outlineLvl w:val="0"/>
    </w:pPr>
    <w:rPr>
      <w:rFonts w:ascii="黑体" w:hAnsi="黑体" w:eastAsia="黑体" w:cs="Times New Roman"/>
      <w:b/>
      <w:bCs/>
      <w:kern w:val="44"/>
      <w:sz w:val="32"/>
      <w:szCs w:val="32"/>
    </w:rPr>
  </w:style>
  <w:style w:type="paragraph" w:styleId="3">
    <w:name w:val="heading 2"/>
    <w:basedOn w:val="1"/>
    <w:next w:val="1"/>
    <w:link w:val="29"/>
    <w:unhideWhenUsed/>
    <w:qFormat/>
    <w:uiPriority w:val="9"/>
    <w:pPr>
      <w:spacing w:before="240"/>
      <w:ind w:firstLine="0" w:firstLineChars="0"/>
      <w:outlineLvl w:val="1"/>
    </w:pPr>
    <w:rPr>
      <w:rFonts w:ascii="黑体" w:hAnsi="黑体" w:eastAsia="黑体"/>
      <w:sz w:val="32"/>
    </w:rPr>
  </w:style>
  <w:style w:type="paragraph" w:styleId="4">
    <w:name w:val="heading 3"/>
    <w:basedOn w:val="1"/>
    <w:next w:val="5"/>
    <w:link w:val="34"/>
    <w:unhideWhenUsed/>
    <w:qFormat/>
    <w:uiPriority w:val="9"/>
    <w:pPr>
      <w:outlineLvl w:val="2"/>
    </w:pPr>
    <w:rPr>
      <w:rFonts w:ascii="黑体" w:hAnsi="黑体" w:eastAsia="黑体"/>
    </w:rPr>
  </w:style>
  <w:style w:type="paragraph" w:styleId="6">
    <w:name w:val="heading 4"/>
    <w:basedOn w:val="1"/>
    <w:next w:val="1"/>
    <w:link w:val="36"/>
    <w:unhideWhenUsed/>
    <w:qFormat/>
    <w:uiPriority w:val="9"/>
    <w:pPr>
      <w:outlineLvl w:val="3"/>
    </w:pPr>
    <w:rPr>
      <w:rFonts w:ascii="黑体" w:hAnsi="黑体" w:eastAsia="黑体"/>
    </w:rPr>
  </w:style>
  <w:style w:type="paragraph" w:styleId="7">
    <w:name w:val="heading 5"/>
    <w:basedOn w:val="1"/>
    <w:next w:val="1"/>
    <w:link w:val="28"/>
    <w:unhideWhenUsed/>
    <w:qFormat/>
    <w:uiPriority w:val="9"/>
    <w:pPr>
      <w:outlineLvl w:val="4"/>
    </w:pPr>
    <w:rPr>
      <w:rFonts w:ascii="黑体" w:hAnsi="黑体" w:eastAsia="黑体"/>
    </w:rPr>
  </w:style>
  <w:style w:type="character" w:default="1" w:styleId="22">
    <w:name w:val="Default Paragraph Font"/>
    <w:unhideWhenUsed/>
    <w:uiPriority w:val="1"/>
  </w:style>
  <w:style w:type="table" w:default="1" w:styleId="26">
    <w:name w:val="Normal Table"/>
    <w:unhideWhenUsed/>
    <w:qFormat/>
    <w:uiPriority w:val="99"/>
    <w:pPr>
      <w:widowControl/>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tcPr>
      <w:textDirection w:val="lrTb"/>
    </w:tcPr>
  </w:style>
  <w:style w:type="paragraph" w:styleId="5">
    <w:name w:val="Body Text Indent"/>
    <w:basedOn w:val="1"/>
    <w:link w:val="37"/>
    <w:unhideWhenUsed/>
    <w:qFormat/>
    <w:uiPriority w:val="0"/>
    <w:pPr>
      <w:ind w:left="420" w:leftChars="200"/>
    </w:pPr>
  </w:style>
  <w:style w:type="paragraph" w:styleId="8">
    <w:name w:val="toc 7"/>
    <w:basedOn w:val="1"/>
    <w:next w:val="1"/>
    <w:unhideWhenUsed/>
    <w:qFormat/>
    <w:uiPriority w:val="39"/>
    <w:pPr>
      <w:tabs>
        <w:tab w:val="clear" w:pos="8400"/>
      </w:tabs>
      <w:ind w:left="2520" w:leftChars="1200"/>
    </w:pPr>
  </w:style>
  <w:style w:type="paragraph" w:styleId="9">
    <w:name w:val="Document Map"/>
    <w:basedOn w:val="1"/>
    <w:link w:val="38"/>
    <w:unhideWhenUsed/>
    <w:qFormat/>
    <w:uiPriority w:val="0"/>
    <w:rPr>
      <w:rFonts w:ascii="宋体" w:eastAsia="宋体"/>
      <w:sz w:val="18"/>
      <w:szCs w:val="18"/>
    </w:rPr>
  </w:style>
  <w:style w:type="paragraph" w:styleId="10">
    <w:name w:val="toc 5"/>
    <w:basedOn w:val="1"/>
    <w:next w:val="1"/>
    <w:unhideWhenUsed/>
    <w:qFormat/>
    <w:uiPriority w:val="39"/>
    <w:pPr>
      <w:tabs>
        <w:tab w:val="clear" w:pos="8400"/>
      </w:tabs>
      <w:ind w:left="1680" w:leftChars="800"/>
    </w:pPr>
  </w:style>
  <w:style w:type="paragraph" w:styleId="11">
    <w:name w:val="toc 3"/>
    <w:basedOn w:val="1"/>
    <w:next w:val="1"/>
    <w:unhideWhenUsed/>
    <w:uiPriority w:val="39"/>
    <w:pPr>
      <w:tabs>
        <w:tab w:val="clear" w:pos="8400"/>
      </w:tabs>
      <w:ind w:left="840" w:leftChars="400"/>
    </w:pPr>
  </w:style>
  <w:style w:type="paragraph" w:styleId="12">
    <w:name w:val="Plain Text"/>
    <w:basedOn w:val="1"/>
    <w:unhideWhenUsed/>
    <w:qFormat/>
    <w:uiPriority w:val="0"/>
    <w:rPr>
      <w:rFonts w:ascii="宋体" w:hAnsi="Courier New"/>
      <w:szCs w:val="21"/>
    </w:rPr>
  </w:style>
  <w:style w:type="paragraph" w:styleId="13">
    <w:name w:val="toc 8"/>
    <w:basedOn w:val="1"/>
    <w:next w:val="1"/>
    <w:unhideWhenUsed/>
    <w:uiPriority w:val="39"/>
    <w:pPr>
      <w:tabs>
        <w:tab w:val="clear" w:pos="8400"/>
      </w:tabs>
      <w:ind w:left="2940" w:leftChars="1400"/>
    </w:pPr>
  </w:style>
  <w:style w:type="paragraph" w:styleId="14">
    <w:name w:val="footer"/>
    <w:basedOn w:val="1"/>
    <w:link w:val="39"/>
    <w:unhideWhenUsed/>
    <w:uiPriority w:val="99"/>
    <w:pPr>
      <w:tabs>
        <w:tab w:val="center" w:pos="4153"/>
        <w:tab w:val="right" w:pos="8306"/>
        <w:tab w:val="clear" w:pos="8400"/>
      </w:tabs>
      <w:snapToGrid w:val="0"/>
      <w:jc w:val="left"/>
    </w:pPr>
    <w:rPr>
      <w:sz w:val="18"/>
      <w:szCs w:val="18"/>
    </w:rPr>
  </w:style>
  <w:style w:type="paragraph" w:styleId="15">
    <w:name w:val="header"/>
    <w:basedOn w:val="1"/>
    <w:link w:val="33"/>
    <w:unhideWhenUsed/>
    <w:qFormat/>
    <w:uiPriority w:val="0"/>
    <w:pPr>
      <w:pBdr>
        <w:bottom w:val="single" w:color="auto" w:sz="6" w:space="1"/>
      </w:pBdr>
      <w:tabs>
        <w:tab w:val="center" w:pos="4153"/>
        <w:tab w:val="right" w:pos="8306"/>
        <w:tab w:val="clear" w:pos="8400"/>
      </w:tabs>
      <w:snapToGrid w:val="0"/>
      <w:jc w:val="center"/>
    </w:pPr>
    <w:rPr>
      <w:sz w:val="18"/>
      <w:szCs w:val="18"/>
    </w:rPr>
  </w:style>
  <w:style w:type="paragraph" w:styleId="16">
    <w:name w:val="toc 1"/>
    <w:basedOn w:val="1"/>
    <w:next w:val="1"/>
    <w:unhideWhenUsed/>
    <w:qFormat/>
    <w:uiPriority w:val="39"/>
    <w:pPr>
      <w:tabs>
        <w:tab w:val="clear" w:pos="8400"/>
      </w:tabs>
    </w:pPr>
  </w:style>
  <w:style w:type="paragraph" w:styleId="17">
    <w:name w:val="toc 4"/>
    <w:basedOn w:val="1"/>
    <w:next w:val="1"/>
    <w:unhideWhenUsed/>
    <w:qFormat/>
    <w:uiPriority w:val="39"/>
    <w:pPr>
      <w:tabs>
        <w:tab w:val="clear" w:pos="8400"/>
      </w:tabs>
      <w:ind w:left="1260" w:leftChars="600"/>
    </w:pPr>
  </w:style>
  <w:style w:type="paragraph" w:styleId="18">
    <w:name w:val="toc 6"/>
    <w:basedOn w:val="1"/>
    <w:next w:val="1"/>
    <w:unhideWhenUsed/>
    <w:qFormat/>
    <w:uiPriority w:val="39"/>
    <w:pPr>
      <w:tabs>
        <w:tab w:val="clear" w:pos="8400"/>
      </w:tabs>
      <w:ind w:left="2100" w:leftChars="1000"/>
    </w:pPr>
  </w:style>
  <w:style w:type="paragraph" w:styleId="19">
    <w:name w:val="toc 2"/>
    <w:basedOn w:val="1"/>
    <w:next w:val="1"/>
    <w:unhideWhenUsed/>
    <w:qFormat/>
    <w:uiPriority w:val="39"/>
    <w:pPr>
      <w:tabs>
        <w:tab w:val="clear" w:pos="8400"/>
      </w:tabs>
      <w:ind w:left="420" w:leftChars="200"/>
    </w:pPr>
  </w:style>
  <w:style w:type="paragraph" w:styleId="20">
    <w:name w:val="toc 9"/>
    <w:basedOn w:val="1"/>
    <w:next w:val="1"/>
    <w:unhideWhenUsed/>
    <w:uiPriority w:val="39"/>
    <w:pPr>
      <w:tabs>
        <w:tab w:val="clear" w:pos="8400"/>
      </w:tabs>
      <w:ind w:left="3360" w:leftChars="1600"/>
    </w:p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23">
    <w:name w:val="Strong"/>
    <w:basedOn w:val="22"/>
    <w:qFormat/>
    <w:uiPriority w:val="22"/>
    <w:rPr>
      <w:b/>
      <w:bCs/>
    </w:rPr>
  </w:style>
  <w:style w:type="character" w:styleId="24">
    <w:name w:val="page number"/>
    <w:basedOn w:val="22"/>
    <w:unhideWhenUsed/>
    <w:qFormat/>
    <w:uiPriority w:val="0"/>
  </w:style>
  <w:style w:type="character" w:styleId="25">
    <w:name w:val="Hyperlink"/>
    <w:basedOn w:val="22"/>
    <w:unhideWhenUsed/>
    <w:uiPriority w:val="99"/>
    <w:rPr>
      <w:color w:val="0000FF"/>
      <w:u w:val="single"/>
    </w:rPr>
  </w:style>
  <w:style w:type="table" w:styleId="27">
    <w:name w:val="Table Grid"/>
    <w:basedOn w:val="26"/>
    <w:qFormat/>
    <w:uiPriority w:val="59"/>
    <w:pPr>
      <w:widowControl w:val="0"/>
      <w:tabs>
        <w:tab w:val="center" w:leader="dot" w:pos="8400"/>
      </w:tabs>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28">
    <w:name w:val="标题 5 Char"/>
    <w:basedOn w:val="22"/>
    <w:link w:val="7"/>
    <w:qFormat/>
    <w:uiPriority w:val="9"/>
    <w:rPr>
      <w:rFonts w:ascii="黑体" w:hAnsi="黑体" w:eastAsia="黑体" w:cs="黑体"/>
      <w:kern w:val="2"/>
      <w:sz w:val="28"/>
      <w:szCs w:val="28"/>
    </w:rPr>
  </w:style>
  <w:style w:type="character" w:customStyle="1" w:styleId="29">
    <w:name w:val="标题 2 Char"/>
    <w:basedOn w:val="22"/>
    <w:link w:val="3"/>
    <w:qFormat/>
    <w:uiPriority w:val="9"/>
    <w:rPr>
      <w:rFonts w:ascii="黑体" w:hAnsi="黑体" w:eastAsia="黑体" w:cs="黑体"/>
      <w:kern w:val="2"/>
      <w:sz w:val="32"/>
      <w:szCs w:val="28"/>
    </w:rPr>
  </w:style>
  <w:style w:type="paragraph" w:customStyle="1" w:styleId="30">
    <w:name w:val="msolistparagraph"/>
    <w:basedOn w:val="1"/>
    <w:qFormat/>
    <w:uiPriority w:val="0"/>
    <w:pPr>
      <w:ind w:firstLine="420"/>
    </w:pPr>
    <w:rPr>
      <w:rFonts w:ascii="Calibri" w:hAnsi="Calibri" w:eastAsia="宋体" w:cs="Times New Roman"/>
      <w:sz w:val="21"/>
      <w:szCs w:val="22"/>
    </w:rPr>
  </w:style>
  <w:style w:type="paragraph" w:customStyle="1" w:styleId="31">
    <w:name w:val="列出段落1"/>
    <w:basedOn w:val="1"/>
    <w:qFormat/>
    <w:uiPriority w:val="34"/>
    <w:pPr>
      <w:ind w:firstLine="420"/>
    </w:pPr>
    <w:rPr>
      <w:rFonts w:cs="Times New Roman"/>
    </w:rPr>
  </w:style>
  <w:style w:type="paragraph" w:customStyle="1" w:styleId="32">
    <w:name w:val="Char"/>
    <w:basedOn w:val="1"/>
    <w:qFormat/>
    <w:uiPriority w:val="0"/>
    <w:rPr>
      <w:rFonts w:ascii="Tahoma" w:hAnsi="Tahoma" w:cs="Times New Roman"/>
      <w:sz w:val="24"/>
      <w:szCs w:val="20"/>
    </w:rPr>
  </w:style>
  <w:style w:type="character" w:customStyle="1" w:styleId="33">
    <w:name w:val="页眉 Char"/>
    <w:basedOn w:val="22"/>
    <w:link w:val="15"/>
    <w:semiHidden/>
    <w:qFormat/>
    <w:uiPriority w:val="0"/>
    <w:rPr>
      <w:rFonts w:cs="黑体"/>
      <w:kern w:val="2"/>
      <w:sz w:val="18"/>
      <w:szCs w:val="18"/>
    </w:rPr>
  </w:style>
  <w:style w:type="character" w:customStyle="1" w:styleId="34">
    <w:name w:val="标题 3 Char"/>
    <w:basedOn w:val="22"/>
    <w:link w:val="4"/>
    <w:uiPriority w:val="9"/>
    <w:rPr>
      <w:rFonts w:ascii="黑体" w:hAnsi="黑体" w:eastAsia="黑体" w:cs="黑体"/>
      <w:kern w:val="2"/>
      <w:sz w:val="28"/>
      <w:szCs w:val="28"/>
    </w:rPr>
  </w:style>
  <w:style w:type="character" w:customStyle="1" w:styleId="35">
    <w:name w:val="标题 1 Char"/>
    <w:basedOn w:val="22"/>
    <w:link w:val="2"/>
    <w:qFormat/>
    <w:uiPriority w:val="0"/>
    <w:rPr>
      <w:rFonts w:ascii="黑体" w:hAnsi="黑体" w:eastAsia="黑体"/>
      <w:b/>
      <w:bCs/>
      <w:kern w:val="44"/>
      <w:sz w:val="32"/>
      <w:szCs w:val="32"/>
    </w:rPr>
  </w:style>
  <w:style w:type="character" w:customStyle="1" w:styleId="36">
    <w:name w:val="标题 4 Char"/>
    <w:basedOn w:val="22"/>
    <w:link w:val="6"/>
    <w:uiPriority w:val="9"/>
    <w:rPr>
      <w:rFonts w:ascii="黑体" w:hAnsi="黑体" w:eastAsia="黑体" w:cs="黑体"/>
      <w:kern w:val="2"/>
      <w:sz w:val="28"/>
      <w:szCs w:val="28"/>
    </w:rPr>
  </w:style>
  <w:style w:type="character" w:customStyle="1" w:styleId="37">
    <w:name w:val="正文文本缩进 Char"/>
    <w:basedOn w:val="22"/>
    <w:link w:val="5"/>
    <w:qFormat/>
    <w:uiPriority w:val="0"/>
    <w:rPr>
      <w:kern w:val="2"/>
      <w:sz w:val="21"/>
      <w:szCs w:val="24"/>
    </w:rPr>
  </w:style>
  <w:style w:type="character" w:customStyle="1" w:styleId="38">
    <w:name w:val="文档结构图 Char"/>
    <w:basedOn w:val="22"/>
    <w:link w:val="9"/>
    <w:semiHidden/>
    <w:qFormat/>
    <w:uiPriority w:val="0"/>
    <w:rPr>
      <w:rFonts w:ascii="宋体" w:hAnsi="仿宋" w:cs="黑体"/>
      <w:kern w:val="2"/>
      <w:sz w:val="18"/>
      <w:szCs w:val="18"/>
    </w:rPr>
  </w:style>
  <w:style w:type="character" w:customStyle="1" w:styleId="39">
    <w:name w:val="页脚 Char"/>
    <w:basedOn w:val="22"/>
    <w:link w:val="14"/>
    <w:uiPriority w:val="99"/>
    <w:rPr>
      <w:rFonts w:ascii="仿宋" w:hAnsi="仿宋" w:eastAsia="仿宋"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2123</Words>
  <Characters>12107</Characters>
  <Lines>100</Lines>
  <Paragraphs>28</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2015-06-17T01:54:00Z</dcterms:created>
  <dc:creator>WHUT_XJ</dc:creator>
  <cp:lastModifiedBy>XIAOJING</cp:lastModifiedBy>
  <cp:lastPrinted>2015-07-16T09:23:00Z</cp:lastPrinted>
  <dcterms:modified xsi:type="dcterms:W3CDTF">2016-09-26T08:32:32Z</dcterms:modified>
  <dc:title>武汉理工大学“十三五”卓越人才培养规划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